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1D" w:rsidRDefault="00DB4A1D" w:rsidP="003F767A">
      <w:pPr>
        <w:spacing w:line="360" w:lineRule="auto"/>
        <w:jc w:val="both"/>
      </w:pPr>
    </w:p>
    <w:p w:rsidR="002D715C" w:rsidRPr="006F071E" w:rsidRDefault="002D715C" w:rsidP="00971B20">
      <w:pPr>
        <w:pStyle w:val="Textodebloque"/>
        <w:ind w:left="0"/>
        <w:rPr>
          <w:sz w:val="28"/>
          <w:szCs w:val="28"/>
        </w:rPr>
      </w:pPr>
      <w:r>
        <w:rPr>
          <w:sz w:val="28"/>
          <w:szCs w:val="28"/>
        </w:rPr>
        <w:t>ACTA DE LA</w:t>
      </w:r>
      <w:r w:rsidRPr="006F071E">
        <w:rPr>
          <w:noProof/>
          <w:sz w:val="28"/>
          <w:szCs w:val="28"/>
        </w:rPr>
        <w:drawing>
          <wp:anchor distT="0" distB="0" distL="114300" distR="114300" simplePos="0" relativeHeight="251659264" behindDoc="0" locked="0" layoutInCell="1" allowOverlap="0">
            <wp:simplePos x="0" y="0"/>
            <wp:positionH relativeFrom="column">
              <wp:posOffset>6629400</wp:posOffset>
            </wp:positionH>
            <wp:positionV relativeFrom="paragraph">
              <wp:posOffset>152400</wp:posOffset>
            </wp:positionV>
            <wp:extent cx="6972300" cy="4960620"/>
            <wp:effectExtent l="0" t="0" r="0" b="0"/>
            <wp:wrapNone/>
            <wp:docPr id="4" name="Imagen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496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71E">
        <w:rPr>
          <w:sz w:val="28"/>
          <w:szCs w:val="28"/>
        </w:rPr>
        <w:t xml:space="preserve"> COMISIÓN</w:t>
      </w:r>
      <w:r>
        <w:rPr>
          <w:sz w:val="28"/>
          <w:szCs w:val="28"/>
        </w:rPr>
        <w:t xml:space="preserve"> EXTRAORDINARIA</w:t>
      </w:r>
      <w:r w:rsidRPr="006F071E">
        <w:rPr>
          <w:sz w:val="28"/>
          <w:szCs w:val="28"/>
        </w:rPr>
        <w:t xml:space="preserve"> DEL ÁREA </w:t>
      </w:r>
      <w:r w:rsidR="00971B20">
        <w:rPr>
          <w:sz w:val="28"/>
          <w:szCs w:val="28"/>
        </w:rPr>
        <w:t xml:space="preserve">HACIENDA </w:t>
      </w:r>
      <w:r w:rsidR="002C66E0">
        <w:rPr>
          <w:sz w:val="28"/>
          <w:szCs w:val="28"/>
        </w:rPr>
        <w:t>Y</w:t>
      </w:r>
      <w:r w:rsidR="002C66E0" w:rsidRPr="006F071E">
        <w:rPr>
          <w:sz w:val="28"/>
          <w:szCs w:val="28"/>
        </w:rPr>
        <w:t xml:space="preserve"> </w:t>
      </w:r>
      <w:r w:rsidR="002C66E0">
        <w:rPr>
          <w:sz w:val="28"/>
          <w:szCs w:val="28"/>
        </w:rPr>
        <w:t>GESTIÓN</w:t>
      </w:r>
      <w:r w:rsidRPr="006F071E">
        <w:rPr>
          <w:sz w:val="28"/>
          <w:szCs w:val="28"/>
        </w:rPr>
        <w:t xml:space="preserve"> INSTITUCIONAL</w:t>
      </w:r>
      <w:r>
        <w:rPr>
          <w:sz w:val="28"/>
          <w:szCs w:val="28"/>
        </w:rPr>
        <w:t xml:space="preserve"> </w:t>
      </w:r>
      <w:r w:rsidRPr="006F071E">
        <w:rPr>
          <w:sz w:val="28"/>
          <w:szCs w:val="28"/>
        </w:rPr>
        <w:t xml:space="preserve"> </w:t>
      </w:r>
      <w:r w:rsidR="00971B20">
        <w:rPr>
          <w:sz w:val="28"/>
          <w:szCs w:val="28"/>
        </w:rPr>
        <w:t xml:space="preserve"> </w:t>
      </w:r>
      <w:r>
        <w:rPr>
          <w:sz w:val="28"/>
          <w:szCs w:val="28"/>
        </w:rPr>
        <w:t xml:space="preserve">DEL </w:t>
      </w:r>
      <w:r w:rsidRPr="006F071E">
        <w:rPr>
          <w:sz w:val="28"/>
          <w:szCs w:val="28"/>
        </w:rPr>
        <w:t xml:space="preserve">DÍA </w:t>
      </w:r>
      <w:r w:rsidR="00E60465">
        <w:rPr>
          <w:sz w:val="28"/>
          <w:szCs w:val="28"/>
        </w:rPr>
        <w:t>8</w:t>
      </w:r>
      <w:r>
        <w:rPr>
          <w:sz w:val="28"/>
          <w:szCs w:val="28"/>
        </w:rPr>
        <w:t xml:space="preserve"> </w:t>
      </w:r>
      <w:r w:rsidRPr="006F071E">
        <w:rPr>
          <w:sz w:val="28"/>
          <w:szCs w:val="28"/>
        </w:rPr>
        <w:t xml:space="preserve">DE </w:t>
      </w:r>
      <w:r w:rsidR="002C66E0">
        <w:rPr>
          <w:sz w:val="28"/>
          <w:szCs w:val="28"/>
        </w:rPr>
        <w:t>SEPTIEMBRE</w:t>
      </w:r>
      <w:r w:rsidR="00E60465">
        <w:rPr>
          <w:sz w:val="28"/>
          <w:szCs w:val="28"/>
        </w:rPr>
        <w:t xml:space="preserve"> DE 2021</w:t>
      </w:r>
    </w:p>
    <w:p w:rsidR="002D715C" w:rsidRDefault="002D715C" w:rsidP="002D715C">
      <w:pPr>
        <w:pStyle w:val="Textodebloque"/>
        <w:rPr>
          <w:lang w:val="es-ES_tradnl"/>
        </w:rPr>
      </w:pPr>
      <w:r>
        <w:t xml:space="preserve"> </w:t>
      </w:r>
    </w:p>
    <w:p w:rsidR="002D715C" w:rsidRDefault="002D715C" w:rsidP="002D715C">
      <w:pPr>
        <w:overflowPunct w:val="0"/>
        <w:autoSpaceDE w:val="0"/>
        <w:autoSpaceDN w:val="0"/>
        <w:adjustRightInd w:val="0"/>
        <w:ind w:right="180"/>
        <w:rPr>
          <w:i/>
          <w:lang w:val="es-ES_tradnl"/>
        </w:rPr>
      </w:pPr>
    </w:p>
    <w:p w:rsidR="002D715C" w:rsidRDefault="002D715C" w:rsidP="002D715C">
      <w:pPr>
        <w:tabs>
          <w:tab w:val="left" w:pos="360"/>
        </w:tabs>
        <w:overflowPunct w:val="0"/>
        <w:autoSpaceDE w:val="0"/>
        <w:autoSpaceDN w:val="0"/>
        <w:adjustRightInd w:val="0"/>
        <w:ind w:right="180"/>
        <w:jc w:val="both"/>
        <w:rPr>
          <w:lang w:val="es-ES_tradnl"/>
        </w:rPr>
      </w:pPr>
      <w:r>
        <w:tab/>
        <w:t xml:space="preserve">Comienza la sesión a las </w:t>
      </w:r>
      <w:r w:rsidR="00E60465">
        <w:t>trece</w:t>
      </w:r>
      <w:r>
        <w:t xml:space="preserve"> horas y </w:t>
      </w:r>
      <w:r w:rsidR="00E60465">
        <w:t>cuarenta</w:t>
      </w:r>
      <w:r w:rsidR="00971B20">
        <w:t xml:space="preserve"> y cinco</w:t>
      </w:r>
      <w:r>
        <w:t xml:space="preserve"> minutos del día arriba señalado, reuniéndose los </w:t>
      </w:r>
      <w:proofErr w:type="spellStart"/>
      <w:r>
        <w:t>Sres</w:t>
      </w:r>
      <w:proofErr w:type="spellEnd"/>
      <w:r>
        <w:t>/as. Concejales/as que a continuación se indican, en la Sala de Comisiones de este Excmo. Ayuntamiento para tratar los puntos establecidos en el Orden del Día.</w:t>
      </w:r>
    </w:p>
    <w:p w:rsidR="002D715C" w:rsidRDefault="002D715C" w:rsidP="002D715C">
      <w:pPr>
        <w:tabs>
          <w:tab w:val="left" w:pos="360"/>
        </w:tabs>
        <w:overflowPunct w:val="0"/>
        <w:autoSpaceDE w:val="0"/>
        <w:autoSpaceDN w:val="0"/>
        <w:adjustRightInd w:val="0"/>
        <w:jc w:val="both"/>
        <w:rPr>
          <w:lang w:val="es-ES_tradnl"/>
        </w:rPr>
      </w:pPr>
      <w:r>
        <w:rPr>
          <w:lang w:val="es-ES_tradnl"/>
        </w:rPr>
        <w:tab/>
      </w:r>
    </w:p>
    <w:p w:rsidR="002D715C" w:rsidRDefault="002D715C" w:rsidP="002D715C">
      <w:pPr>
        <w:tabs>
          <w:tab w:val="left" w:pos="360"/>
        </w:tabs>
        <w:overflowPunct w:val="0"/>
        <w:autoSpaceDE w:val="0"/>
        <w:autoSpaceDN w:val="0"/>
        <w:adjustRightInd w:val="0"/>
        <w:jc w:val="both"/>
        <w:rPr>
          <w:bCs/>
          <w:lang w:val="es-ES_tradnl"/>
        </w:rPr>
      </w:pPr>
    </w:p>
    <w:p w:rsidR="002D715C" w:rsidRPr="006B0429" w:rsidRDefault="002D715C" w:rsidP="002D715C">
      <w:pPr>
        <w:numPr>
          <w:ilvl w:val="0"/>
          <w:numId w:val="1"/>
        </w:numPr>
        <w:tabs>
          <w:tab w:val="left" w:pos="360"/>
        </w:tabs>
        <w:overflowPunct w:val="0"/>
        <w:autoSpaceDE w:val="0"/>
        <w:autoSpaceDN w:val="0"/>
        <w:adjustRightInd w:val="0"/>
        <w:ind w:right="180"/>
        <w:jc w:val="both"/>
        <w:rPr>
          <w:bCs/>
          <w:lang w:val="es-ES_tradnl"/>
        </w:rPr>
      </w:pPr>
      <w:r>
        <w:rPr>
          <w:b/>
          <w:i/>
          <w:lang w:val="es-ES_tradnl"/>
        </w:rPr>
        <w:t xml:space="preserve">TITULARES: </w:t>
      </w:r>
      <w:r w:rsidRPr="002D715C">
        <w:rPr>
          <w:i/>
          <w:lang w:val="es-ES_tradnl"/>
        </w:rPr>
        <w:t xml:space="preserve">Dª Diana Díaz del Pozo, P.S.O.E (Presidenta); </w:t>
      </w:r>
      <w:r w:rsidR="006B0429" w:rsidRPr="00E60465">
        <w:rPr>
          <w:bCs/>
          <w:i/>
          <w:lang w:val="es-ES_tradnl"/>
        </w:rPr>
        <w:t>Dª Susana Ropero, Grupo Ciudadanos-Partido Ciudadanía</w:t>
      </w:r>
      <w:r w:rsidR="006B0429">
        <w:rPr>
          <w:i/>
          <w:lang w:val="es-ES_tradnl"/>
        </w:rPr>
        <w:t xml:space="preserve">; </w:t>
      </w:r>
      <w:r w:rsidR="00E60465">
        <w:rPr>
          <w:i/>
          <w:lang w:val="es-ES_tradnl"/>
        </w:rPr>
        <w:t xml:space="preserve">D. Marcelo </w:t>
      </w:r>
      <w:proofErr w:type="spellStart"/>
      <w:r w:rsidR="00E60465">
        <w:rPr>
          <w:i/>
          <w:lang w:val="es-ES_tradnl"/>
        </w:rPr>
        <w:t>Isoldi</w:t>
      </w:r>
      <w:proofErr w:type="spellEnd"/>
      <w:r w:rsidR="00E60465">
        <w:rPr>
          <w:i/>
          <w:lang w:val="es-ES_tradnl"/>
        </w:rPr>
        <w:t>, Grupo P.P.</w:t>
      </w:r>
      <w:r w:rsidR="002850C1">
        <w:rPr>
          <w:bCs/>
          <w:i/>
          <w:lang w:val="es-ES_tradnl"/>
        </w:rPr>
        <w:t>;</w:t>
      </w:r>
      <w:r>
        <w:rPr>
          <w:i/>
          <w:lang w:val="es-ES_tradnl"/>
        </w:rPr>
        <w:t xml:space="preserve"> </w:t>
      </w:r>
      <w:r w:rsidR="006B0429">
        <w:rPr>
          <w:bCs/>
          <w:i/>
          <w:lang w:val="es-ES_tradnl"/>
        </w:rPr>
        <w:t>D. Javier Moreno, Grupo Vox</w:t>
      </w:r>
      <w:r w:rsidR="006B0429">
        <w:rPr>
          <w:bCs/>
          <w:lang w:val="es-ES_tradnl"/>
        </w:rPr>
        <w:t xml:space="preserve">; </w:t>
      </w:r>
      <w:r w:rsidR="007E7048" w:rsidRPr="006B0429">
        <w:rPr>
          <w:i/>
          <w:lang w:val="es-ES_tradnl"/>
        </w:rPr>
        <w:t>D. David Cobo García, Grupo Unidas Podemos</w:t>
      </w:r>
    </w:p>
    <w:p w:rsidR="002D715C" w:rsidRDefault="002D715C" w:rsidP="002D715C">
      <w:pPr>
        <w:tabs>
          <w:tab w:val="left" w:pos="360"/>
        </w:tabs>
        <w:overflowPunct w:val="0"/>
        <w:autoSpaceDE w:val="0"/>
        <w:autoSpaceDN w:val="0"/>
        <w:adjustRightInd w:val="0"/>
        <w:ind w:right="180"/>
        <w:jc w:val="both"/>
        <w:rPr>
          <w:bCs/>
          <w:i/>
          <w:lang w:val="es-ES_tradnl"/>
        </w:rPr>
      </w:pPr>
    </w:p>
    <w:p w:rsidR="002D715C" w:rsidRDefault="002D715C" w:rsidP="002D715C">
      <w:pPr>
        <w:tabs>
          <w:tab w:val="left" w:pos="360"/>
        </w:tabs>
        <w:overflowPunct w:val="0"/>
        <w:autoSpaceDE w:val="0"/>
        <w:autoSpaceDN w:val="0"/>
        <w:adjustRightInd w:val="0"/>
        <w:ind w:right="180"/>
        <w:jc w:val="both"/>
        <w:rPr>
          <w:bCs/>
          <w:i/>
          <w:lang w:val="es-ES_tradnl"/>
        </w:rPr>
      </w:pPr>
      <w:r>
        <w:rPr>
          <w:bCs/>
          <w:i/>
          <w:lang w:val="es-ES_tradnl"/>
        </w:rPr>
        <w:t xml:space="preserve">También asisten: </w:t>
      </w:r>
    </w:p>
    <w:p w:rsidR="002D715C" w:rsidRDefault="002D715C" w:rsidP="002D715C">
      <w:pPr>
        <w:tabs>
          <w:tab w:val="left" w:pos="360"/>
        </w:tabs>
        <w:overflowPunct w:val="0"/>
        <w:autoSpaceDE w:val="0"/>
        <w:autoSpaceDN w:val="0"/>
        <w:adjustRightInd w:val="0"/>
        <w:ind w:right="180"/>
        <w:jc w:val="both"/>
        <w:rPr>
          <w:bCs/>
          <w:i/>
          <w:lang w:val="es-ES_tradnl"/>
        </w:rPr>
      </w:pPr>
    </w:p>
    <w:p w:rsidR="002D715C" w:rsidRPr="0014336C" w:rsidRDefault="002D715C" w:rsidP="002D715C">
      <w:pPr>
        <w:numPr>
          <w:ilvl w:val="0"/>
          <w:numId w:val="1"/>
        </w:numPr>
        <w:tabs>
          <w:tab w:val="left" w:pos="360"/>
        </w:tabs>
        <w:overflowPunct w:val="0"/>
        <w:autoSpaceDE w:val="0"/>
        <w:autoSpaceDN w:val="0"/>
        <w:adjustRightInd w:val="0"/>
        <w:ind w:right="180"/>
        <w:jc w:val="both"/>
        <w:rPr>
          <w:bCs/>
          <w:lang w:val="es-ES_tradnl"/>
        </w:rPr>
      </w:pPr>
      <w:r>
        <w:rPr>
          <w:bCs/>
          <w:i/>
          <w:lang w:val="es-ES_tradnl"/>
        </w:rPr>
        <w:t xml:space="preserve">El </w:t>
      </w:r>
      <w:r w:rsidR="00E60465">
        <w:rPr>
          <w:bCs/>
          <w:i/>
          <w:lang w:val="es-ES_tradnl"/>
        </w:rPr>
        <w:t>Director</w:t>
      </w:r>
      <w:r w:rsidR="00971B20">
        <w:rPr>
          <w:bCs/>
          <w:i/>
          <w:lang w:val="es-ES_tradnl"/>
        </w:rPr>
        <w:t xml:space="preserve"> del </w:t>
      </w:r>
      <w:r w:rsidR="00E60465">
        <w:rPr>
          <w:bCs/>
          <w:i/>
          <w:lang w:val="es-ES_tradnl"/>
        </w:rPr>
        <w:t>Área</w:t>
      </w:r>
      <w:r w:rsidR="00971B20">
        <w:rPr>
          <w:bCs/>
          <w:i/>
          <w:lang w:val="es-ES_tradnl"/>
        </w:rPr>
        <w:t xml:space="preserve"> de Gestión</w:t>
      </w:r>
      <w:r>
        <w:rPr>
          <w:bCs/>
          <w:i/>
          <w:lang w:val="es-ES_tradnl"/>
        </w:rPr>
        <w:t xml:space="preserve"> </w:t>
      </w:r>
      <w:r w:rsidR="00E60465">
        <w:rPr>
          <w:bCs/>
          <w:i/>
          <w:lang w:val="es-ES_tradnl"/>
        </w:rPr>
        <w:t xml:space="preserve">e Inspección </w:t>
      </w:r>
      <w:r>
        <w:rPr>
          <w:bCs/>
          <w:i/>
          <w:lang w:val="es-ES_tradnl"/>
        </w:rPr>
        <w:t>Tributaria</w:t>
      </w:r>
    </w:p>
    <w:p w:rsidR="002D715C" w:rsidRPr="0001167A" w:rsidRDefault="002D715C" w:rsidP="002D715C">
      <w:pPr>
        <w:numPr>
          <w:ilvl w:val="0"/>
          <w:numId w:val="1"/>
        </w:numPr>
        <w:tabs>
          <w:tab w:val="left" w:pos="360"/>
        </w:tabs>
        <w:overflowPunct w:val="0"/>
        <w:autoSpaceDE w:val="0"/>
        <w:autoSpaceDN w:val="0"/>
        <w:adjustRightInd w:val="0"/>
        <w:ind w:right="180"/>
        <w:jc w:val="both"/>
        <w:rPr>
          <w:bCs/>
          <w:lang w:val="es-ES_tradnl"/>
        </w:rPr>
      </w:pPr>
      <w:r w:rsidRPr="0001167A">
        <w:rPr>
          <w:bCs/>
          <w:i/>
          <w:lang w:val="es-ES_tradnl"/>
        </w:rPr>
        <w:t>La Secretaria de la Comisión</w:t>
      </w:r>
    </w:p>
    <w:p w:rsidR="002D715C" w:rsidRDefault="002D715C" w:rsidP="002D715C">
      <w:pPr>
        <w:tabs>
          <w:tab w:val="left" w:pos="360"/>
        </w:tabs>
        <w:overflowPunct w:val="0"/>
        <w:autoSpaceDE w:val="0"/>
        <w:autoSpaceDN w:val="0"/>
        <w:adjustRightInd w:val="0"/>
        <w:ind w:right="180"/>
        <w:jc w:val="both"/>
        <w:rPr>
          <w:bCs/>
          <w:lang w:val="es-ES_tradnl"/>
        </w:rPr>
      </w:pPr>
      <w:r>
        <w:rPr>
          <w:bCs/>
          <w:lang w:val="es-ES_tradnl"/>
        </w:rPr>
        <w:tab/>
      </w:r>
    </w:p>
    <w:p w:rsidR="006B0429" w:rsidRPr="002D7D08" w:rsidRDefault="006B0429" w:rsidP="002D715C">
      <w:pPr>
        <w:tabs>
          <w:tab w:val="left" w:pos="360"/>
        </w:tabs>
        <w:overflowPunct w:val="0"/>
        <w:autoSpaceDE w:val="0"/>
        <w:autoSpaceDN w:val="0"/>
        <w:adjustRightInd w:val="0"/>
        <w:ind w:right="180"/>
        <w:jc w:val="both"/>
        <w:rPr>
          <w:bCs/>
          <w:lang w:val="es-ES_tradnl"/>
        </w:rPr>
      </w:pPr>
    </w:p>
    <w:p w:rsidR="002D715C" w:rsidRDefault="002D715C" w:rsidP="002D715C">
      <w:pPr>
        <w:overflowPunct w:val="0"/>
        <w:autoSpaceDE w:val="0"/>
        <w:autoSpaceDN w:val="0"/>
        <w:adjustRightInd w:val="0"/>
        <w:rPr>
          <w:b/>
          <w:bCs/>
          <w:i/>
          <w:sz w:val="28"/>
          <w:szCs w:val="28"/>
          <w:u w:val="single"/>
          <w:lang w:val="es-ES_tradnl"/>
        </w:rPr>
      </w:pPr>
      <w:r w:rsidRPr="00F37B21">
        <w:rPr>
          <w:b/>
          <w:bCs/>
          <w:i/>
          <w:sz w:val="28"/>
          <w:szCs w:val="28"/>
          <w:u w:val="single"/>
          <w:lang w:val="es-ES_tradnl"/>
        </w:rPr>
        <w:t xml:space="preserve">1.- </w:t>
      </w:r>
      <w:r>
        <w:rPr>
          <w:b/>
          <w:bCs/>
          <w:i/>
          <w:sz w:val="28"/>
          <w:szCs w:val="28"/>
          <w:u w:val="single"/>
          <w:lang w:val="es-ES_tradnl"/>
        </w:rPr>
        <w:t>PRESENTACIÓN ANTEPROYECTO ORDENANZAS FISCALES Y GENERALES DE PRECIOS</w:t>
      </w:r>
      <w:r w:rsidR="00E60465">
        <w:rPr>
          <w:b/>
          <w:bCs/>
          <w:i/>
          <w:sz w:val="28"/>
          <w:szCs w:val="28"/>
          <w:u w:val="single"/>
          <w:lang w:val="es-ES_tradnl"/>
        </w:rPr>
        <w:t xml:space="preserve"> PÚBLICOS PARA EL EJERCICIO 2022</w:t>
      </w:r>
    </w:p>
    <w:p w:rsidR="002D715C" w:rsidRDefault="002D715C" w:rsidP="002D715C">
      <w:pPr>
        <w:overflowPunct w:val="0"/>
        <w:autoSpaceDE w:val="0"/>
        <w:autoSpaceDN w:val="0"/>
        <w:adjustRightInd w:val="0"/>
        <w:jc w:val="both"/>
        <w:rPr>
          <w:b/>
          <w:bCs/>
          <w:i/>
          <w:sz w:val="28"/>
          <w:szCs w:val="28"/>
          <w:u w:val="single"/>
          <w:lang w:val="es-ES_tradnl"/>
        </w:rPr>
      </w:pPr>
    </w:p>
    <w:p w:rsidR="00971B20" w:rsidRDefault="002D715C" w:rsidP="002D715C">
      <w:pPr>
        <w:widowControl w:val="0"/>
        <w:autoSpaceDE w:val="0"/>
        <w:autoSpaceDN w:val="0"/>
        <w:adjustRightInd w:val="0"/>
        <w:ind w:firstLine="708"/>
        <w:jc w:val="both"/>
        <w:rPr>
          <w:lang w:val="es"/>
        </w:rPr>
      </w:pPr>
      <w:r>
        <w:rPr>
          <w:lang w:val="es"/>
        </w:rPr>
        <w:t xml:space="preserve">La </w:t>
      </w:r>
      <w:r w:rsidRPr="004C31EB">
        <w:rPr>
          <w:i/>
          <w:u w:val="single"/>
          <w:lang w:val="es"/>
        </w:rPr>
        <w:t>Sr</w:t>
      </w:r>
      <w:r>
        <w:rPr>
          <w:i/>
          <w:u w:val="single"/>
          <w:lang w:val="es"/>
        </w:rPr>
        <w:t>a</w:t>
      </w:r>
      <w:r w:rsidRPr="004C31EB">
        <w:rPr>
          <w:i/>
          <w:u w:val="single"/>
          <w:lang w:val="es"/>
        </w:rPr>
        <w:t>. President</w:t>
      </w:r>
      <w:r>
        <w:rPr>
          <w:i/>
          <w:u w:val="single"/>
          <w:lang w:val="es"/>
        </w:rPr>
        <w:t>a</w:t>
      </w:r>
      <w:r w:rsidRPr="004C31EB">
        <w:rPr>
          <w:lang w:val="es"/>
        </w:rPr>
        <w:t xml:space="preserve"> inicia la sesión indicando que, como se refleja en el Orden del Día, el motivo de la celebración de e</w:t>
      </w:r>
      <w:r w:rsidR="00F078EF">
        <w:rPr>
          <w:lang w:val="es"/>
        </w:rPr>
        <w:t xml:space="preserve">sta sesión extraordinaria es para </w:t>
      </w:r>
      <w:r w:rsidR="00E60465">
        <w:rPr>
          <w:lang w:val="es"/>
        </w:rPr>
        <w:t>dar cuenta del Proyecto de</w:t>
      </w:r>
      <w:r w:rsidR="00F078EF">
        <w:rPr>
          <w:lang w:val="es"/>
        </w:rPr>
        <w:t xml:space="preserve"> Ordenanzas Fiscales y de Pr</w:t>
      </w:r>
      <w:r w:rsidR="00E60465">
        <w:rPr>
          <w:lang w:val="es"/>
        </w:rPr>
        <w:t xml:space="preserve">ecios Públicos para el año 2022, cuya documentación está disponible en el “comparto” de los Grupos. </w:t>
      </w:r>
    </w:p>
    <w:p w:rsidR="00E60465" w:rsidRDefault="00E60465" w:rsidP="002D715C">
      <w:pPr>
        <w:widowControl w:val="0"/>
        <w:autoSpaceDE w:val="0"/>
        <w:autoSpaceDN w:val="0"/>
        <w:adjustRightInd w:val="0"/>
        <w:ind w:firstLine="708"/>
        <w:jc w:val="both"/>
        <w:rPr>
          <w:lang w:val="es"/>
        </w:rPr>
      </w:pPr>
    </w:p>
    <w:p w:rsidR="00E60465" w:rsidRDefault="00F078EF" w:rsidP="00E60465">
      <w:pPr>
        <w:widowControl w:val="0"/>
        <w:autoSpaceDE w:val="0"/>
        <w:autoSpaceDN w:val="0"/>
        <w:adjustRightInd w:val="0"/>
        <w:ind w:firstLine="708"/>
        <w:jc w:val="both"/>
        <w:rPr>
          <w:lang w:val="es"/>
        </w:rPr>
      </w:pPr>
      <w:r>
        <w:rPr>
          <w:lang w:val="es"/>
        </w:rPr>
        <w:t xml:space="preserve">A </w:t>
      </w:r>
      <w:r w:rsidR="00E60465">
        <w:rPr>
          <w:lang w:val="es"/>
        </w:rPr>
        <w:t>continuación,</w:t>
      </w:r>
      <w:r>
        <w:rPr>
          <w:lang w:val="es"/>
        </w:rPr>
        <w:t xml:space="preserve"> la </w:t>
      </w:r>
      <w:r w:rsidRPr="002C66E0">
        <w:rPr>
          <w:i/>
          <w:u w:val="single"/>
          <w:lang w:val="es"/>
        </w:rPr>
        <w:t>Sra. Presidenta</w:t>
      </w:r>
      <w:r>
        <w:rPr>
          <w:lang w:val="es"/>
        </w:rPr>
        <w:t xml:space="preserve"> </w:t>
      </w:r>
      <w:r w:rsidR="00E60465">
        <w:rPr>
          <w:lang w:val="es"/>
        </w:rPr>
        <w:t>cede la palabra al Sr. Director del Área de Gestión e Inspección Tributaria que se dispone a explicar el procedimiento de aprobación del nuevo texto y a explicar brevemente las modificaciones reflejadas en el mismo.</w:t>
      </w:r>
    </w:p>
    <w:p w:rsidR="00CF61EC" w:rsidRDefault="00CF61EC" w:rsidP="00E60465">
      <w:pPr>
        <w:widowControl w:val="0"/>
        <w:autoSpaceDE w:val="0"/>
        <w:autoSpaceDN w:val="0"/>
        <w:adjustRightInd w:val="0"/>
        <w:jc w:val="both"/>
        <w:rPr>
          <w:lang w:val="es"/>
        </w:rPr>
      </w:pPr>
    </w:p>
    <w:p w:rsidR="00B305DA" w:rsidRDefault="002D715C" w:rsidP="009F7BB2">
      <w:pPr>
        <w:widowControl w:val="0"/>
        <w:autoSpaceDE w:val="0"/>
        <w:autoSpaceDN w:val="0"/>
        <w:adjustRightInd w:val="0"/>
        <w:ind w:firstLine="708"/>
        <w:jc w:val="both"/>
        <w:rPr>
          <w:color w:val="000000"/>
        </w:rPr>
      </w:pPr>
      <w:r w:rsidRPr="004C31EB">
        <w:rPr>
          <w:lang w:val="es"/>
        </w:rPr>
        <w:t xml:space="preserve">El </w:t>
      </w:r>
      <w:r w:rsidRPr="004C31EB">
        <w:rPr>
          <w:i/>
          <w:lang w:val="es"/>
        </w:rPr>
        <w:t xml:space="preserve">Sr. </w:t>
      </w:r>
      <w:r w:rsidR="009A275F" w:rsidRPr="009A275F">
        <w:rPr>
          <w:i/>
          <w:lang w:val="es"/>
        </w:rPr>
        <w:t xml:space="preserve">Director del Área de Gestión e Inspección Tributaria </w:t>
      </w:r>
      <w:r w:rsidR="00F078EF">
        <w:rPr>
          <w:lang w:val="es"/>
        </w:rPr>
        <w:t xml:space="preserve">refiere que el Reglamento Orgánico </w:t>
      </w:r>
      <w:r w:rsidR="00C231EB">
        <w:rPr>
          <w:lang w:val="es"/>
        </w:rPr>
        <w:t xml:space="preserve">establece como preceptiva la celebración de Comisión Extraordinaria para dar inicio al procedimiento de </w:t>
      </w:r>
      <w:r w:rsidR="00E60465">
        <w:rPr>
          <w:lang w:val="es"/>
        </w:rPr>
        <w:t>tramitación de</w:t>
      </w:r>
      <w:r w:rsidR="00C231EB">
        <w:rPr>
          <w:lang w:val="es"/>
        </w:rPr>
        <w:t xml:space="preserve"> Ordenanzas Fiscales. </w:t>
      </w:r>
      <w:r w:rsidR="009F7BB2" w:rsidRPr="009F7BB2">
        <w:rPr>
          <w:color w:val="000000"/>
        </w:rPr>
        <w:t>En esta sesión se da cuenta del Anteproyecto de Ordenanza Fiscales y Generales de Precios Públicos que estará a disposición de los Grupos en la carpeta/unidad de “Documentación Interna” en cuanto finalice la sesión de hoy. Hay dos documentos. Uno es un documento donde se recogen los artículos que se modifican de cada Ordenanza Fiscal en el que se distingue por colores lo que no cambia (negro) lo que se cambia (azul) y lo que se suprime (rojo) con respecto a la redacción del año 2021. Otro es el texto completo con las modificaciones ya incorporadas</w:t>
      </w:r>
    </w:p>
    <w:p w:rsidR="009F7BB2" w:rsidRPr="009F7BB2" w:rsidRDefault="009F7BB2" w:rsidP="009F7BB2">
      <w:pPr>
        <w:widowControl w:val="0"/>
        <w:autoSpaceDE w:val="0"/>
        <w:autoSpaceDN w:val="0"/>
        <w:adjustRightInd w:val="0"/>
        <w:ind w:firstLine="708"/>
        <w:jc w:val="both"/>
        <w:rPr>
          <w:lang w:val="es"/>
        </w:rPr>
      </w:pPr>
    </w:p>
    <w:p w:rsidR="00B305DA" w:rsidRDefault="00B305DA" w:rsidP="002D715C">
      <w:pPr>
        <w:widowControl w:val="0"/>
        <w:autoSpaceDE w:val="0"/>
        <w:autoSpaceDN w:val="0"/>
        <w:adjustRightInd w:val="0"/>
        <w:ind w:firstLine="708"/>
        <w:jc w:val="both"/>
        <w:rPr>
          <w:lang w:val="es"/>
        </w:rPr>
      </w:pPr>
      <w:r>
        <w:rPr>
          <w:lang w:val="es"/>
        </w:rPr>
        <w:t xml:space="preserve">La </w:t>
      </w:r>
      <w:r w:rsidRPr="009A275F">
        <w:rPr>
          <w:i/>
          <w:u w:val="single"/>
          <w:lang w:val="es"/>
        </w:rPr>
        <w:t>Sra. Presidenta</w:t>
      </w:r>
      <w:r>
        <w:rPr>
          <w:lang w:val="es"/>
        </w:rPr>
        <w:t xml:space="preserve"> aclara que, con respecto al año pasado existe una modificación en lo que a esta documentación se refiere ya que antes se colgaba el documento entero con sus respectivos colores y este año únicamente se encuentra un documento específico de las </w:t>
      </w:r>
      <w:r>
        <w:rPr>
          <w:lang w:val="es"/>
        </w:rPr>
        <w:lastRenderedPageBreak/>
        <w:t>modificaciones de este año.</w:t>
      </w:r>
    </w:p>
    <w:p w:rsidR="00B305DA" w:rsidRDefault="00B305DA" w:rsidP="002D715C">
      <w:pPr>
        <w:widowControl w:val="0"/>
        <w:autoSpaceDE w:val="0"/>
        <w:autoSpaceDN w:val="0"/>
        <w:adjustRightInd w:val="0"/>
        <w:ind w:firstLine="708"/>
        <w:jc w:val="both"/>
        <w:rPr>
          <w:lang w:val="es"/>
        </w:rPr>
      </w:pPr>
    </w:p>
    <w:p w:rsidR="00B305DA" w:rsidRDefault="00B305DA" w:rsidP="00B305DA">
      <w:pPr>
        <w:widowControl w:val="0"/>
        <w:autoSpaceDE w:val="0"/>
        <w:autoSpaceDN w:val="0"/>
        <w:adjustRightInd w:val="0"/>
        <w:ind w:firstLine="708"/>
        <w:jc w:val="both"/>
        <w:rPr>
          <w:lang w:val="es"/>
        </w:rPr>
      </w:pPr>
      <w:r>
        <w:rPr>
          <w:lang w:val="es"/>
        </w:rPr>
        <w:t xml:space="preserve">El </w:t>
      </w:r>
      <w:r w:rsidRPr="009A275F">
        <w:rPr>
          <w:i/>
          <w:lang w:val="es"/>
        </w:rPr>
        <w:t>Sr.</w:t>
      </w:r>
      <w:r w:rsidR="009A275F" w:rsidRPr="009A275F">
        <w:rPr>
          <w:lang w:val="es"/>
        </w:rPr>
        <w:t xml:space="preserve"> </w:t>
      </w:r>
      <w:r w:rsidR="009A275F" w:rsidRPr="009A275F">
        <w:rPr>
          <w:i/>
          <w:lang w:val="es"/>
        </w:rPr>
        <w:t>Director del Área de Gestión e Inspección Tributaria</w:t>
      </w:r>
      <w:r w:rsidRPr="009A275F">
        <w:rPr>
          <w:i/>
          <w:lang w:val="es"/>
        </w:rPr>
        <w:t xml:space="preserve"> </w:t>
      </w:r>
      <w:r>
        <w:rPr>
          <w:lang w:val="es"/>
        </w:rPr>
        <w:t>añade que, en efecto, exclusivamente aparecen las Ordenanzas que se modifican, de las que no se menciona nada al respecto, quedan como en el Texto del pasado año.</w:t>
      </w:r>
    </w:p>
    <w:p w:rsidR="00B305DA" w:rsidRDefault="00B305DA" w:rsidP="00B305DA">
      <w:pPr>
        <w:widowControl w:val="0"/>
        <w:autoSpaceDE w:val="0"/>
        <w:autoSpaceDN w:val="0"/>
        <w:adjustRightInd w:val="0"/>
        <w:ind w:firstLine="708"/>
        <w:jc w:val="both"/>
        <w:rPr>
          <w:lang w:val="es"/>
        </w:rPr>
      </w:pPr>
    </w:p>
    <w:p w:rsidR="00B305DA" w:rsidRDefault="00B305DA" w:rsidP="00B305DA">
      <w:pPr>
        <w:widowControl w:val="0"/>
        <w:autoSpaceDE w:val="0"/>
        <w:autoSpaceDN w:val="0"/>
        <w:adjustRightInd w:val="0"/>
        <w:ind w:firstLine="708"/>
        <w:jc w:val="both"/>
        <w:rPr>
          <w:lang w:val="es"/>
        </w:rPr>
      </w:pPr>
      <w:r>
        <w:rPr>
          <w:lang w:val="es"/>
        </w:rPr>
        <w:t xml:space="preserve">La </w:t>
      </w:r>
      <w:r w:rsidRPr="009A275F">
        <w:rPr>
          <w:i/>
          <w:lang w:val="es"/>
        </w:rPr>
        <w:t>Sra. Ropero</w:t>
      </w:r>
      <w:r>
        <w:rPr>
          <w:lang w:val="es"/>
        </w:rPr>
        <w:t xml:space="preserve"> pregunta si en el Documento donde se recoge todo el Texto aparecen los colores distintivos de lo que cambia.</w:t>
      </w:r>
    </w:p>
    <w:p w:rsidR="00B305DA" w:rsidRDefault="00B305DA" w:rsidP="00B305DA">
      <w:pPr>
        <w:widowControl w:val="0"/>
        <w:autoSpaceDE w:val="0"/>
        <w:autoSpaceDN w:val="0"/>
        <w:adjustRightInd w:val="0"/>
        <w:ind w:firstLine="708"/>
        <w:jc w:val="both"/>
        <w:rPr>
          <w:lang w:val="es"/>
        </w:rPr>
      </w:pPr>
    </w:p>
    <w:p w:rsidR="009F7BB2" w:rsidRDefault="00B305DA" w:rsidP="009F7BB2">
      <w:pPr>
        <w:widowControl w:val="0"/>
        <w:autoSpaceDE w:val="0"/>
        <w:autoSpaceDN w:val="0"/>
        <w:adjustRightInd w:val="0"/>
        <w:ind w:firstLine="708"/>
        <w:jc w:val="both"/>
        <w:rPr>
          <w:lang w:val="es"/>
        </w:rPr>
      </w:pPr>
      <w:r w:rsidRPr="009A275F">
        <w:rPr>
          <w:i/>
          <w:lang w:val="es"/>
        </w:rPr>
        <w:t xml:space="preserve">El </w:t>
      </w:r>
      <w:r w:rsidR="009A275F" w:rsidRPr="009A275F">
        <w:rPr>
          <w:i/>
          <w:lang w:val="es"/>
        </w:rPr>
        <w:t>Director del Área de Gestión e Inspección Tributaria</w:t>
      </w:r>
      <w:r w:rsidR="009A275F">
        <w:rPr>
          <w:lang w:val="es"/>
        </w:rPr>
        <w:t xml:space="preserve"> </w:t>
      </w:r>
      <w:r>
        <w:rPr>
          <w:lang w:val="es"/>
        </w:rPr>
        <w:t>responde que no aparece con colores, es el Texto que se propone, solo aparecen colores en el documento que aparecen las modificaciones que se proponen.</w:t>
      </w:r>
    </w:p>
    <w:p w:rsidR="009F7BB2" w:rsidRPr="009F7BB2" w:rsidRDefault="009F7BB2" w:rsidP="009F7BB2">
      <w:pPr>
        <w:pStyle w:val="NormalWeb"/>
        <w:ind w:firstLine="708"/>
        <w:jc w:val="both"/>
        <w:rPr>
          <w:color w:val="000000"/>
        </w:rPr>
      </w:pPr>
      <w:r>
        <w:rPr>
          <w:color w:val="000000"/>
        </w:rPr>
        <w:t>Continúa explicando que a p</w:t>
      </w:r>
      <w:r w:rsidRPr="009F7BB2">
        <w:rPr>
          <w:color w:val="000000"/>
        </w:rPr>
        <w:t>artir del mañana se dispone de un plazo de 10 días hábiles (que finalizará el 22 de septiembre) para presentar enmiendas. Las enmiendas se presentan en nombre del Grupo Político y a través de escrito por Registro General.</w:t>
      </w:r>
    </w:p>
    <w:p w:rsidR="009F7BB2" w:rsidRPr="009F7BB2" w:rsidRDefault="009F7BB2" w:rsidP="00522ECA">
      <w:pPr>
        <w:pStyle w:val="NormalWeb"/>
        <w:ind w:firstLine="708"/>
        <w:jc w:val="both"/>
        <w:rPr>
          <w:color w:val="000000"/>
        </w:rPr>
      </w:pPr>
      <w:r w:rsidRPr="009F7BB2">
        <w:rPr>
          <w:color w:val="000000"/>
        </w:rPr>
        <w:t>Del estudio de las enmiendas presentadas se emitirá informe económico por el Interventor General Municipal y por el Área de Gestión e Inspección Tributaria se emitirá informe jurídico de admisión o no admisión de las enmiendas. De todo ello se dará cuenta en Comisión extraordinaria cuya fecha se comunicará oportunamente.</w:t>
      </w:r>
    </w:p>
    <w:p w:rsidR="009F7BB2" w:rsidRPr="009F7BB2" w:rsidRDefault="009F7BB2" w:rsidP="00522ECA">
      <w:pPr>
        <w:pStyle w:val="NormalWeb"/>
        <w:ind w:firstLine="708"/>
        <w:jc w:val="both"/>
        <w:rPr>
          <w:color w:val="000000"/>
        </w:rPr>
      </w:pPr>
      <w:r w:rsidRPr="009F7BB2">
        <w:rPr>
          <w:color w:val="000000"/>
        </w:rPr>
        <w:t>Aquellas enmiendas que se admitan a tramitación y se aprueben por la Comisión se incorporarán al Proyecto de Ordenanzas y las rechazadas podrán elevarse al Pleno como mociones para su debate.</w:t>
      </w:r>
    </w:p>
    <w:p w:rsidR="009F7BB2" w:rsidRPr="009F7BB2" w:rsidRDefault="009F7BB2" w:rsidP="00522ECA">
      <w:pPr>
        <w:pStyle w:val="NormalWeb"/>
        <w:ind w:firstLine="708"/>
        <w:jc w:val="both"/>
        <w:rPr>
          <w:color w:val="000000"/>
        </w:rPr>
      </w:pPr>
      <w:r w:rsidRPr="009F7BB2">
        <w:rPr>
          <w:color w:val="000000"/>
        </w:rPr>
        <w:t>El Proyecto resultante de Ordenanzas debe ser aprobado por la Junta de Gobierno Local para posteriormente pasar al Pleno Municipal, procediéndose a un plazo de exposición pública y presentación de alegaciones de 30 días hábiles. Si hubiera alegaciones deberían elevarse al Pleno con el dictamen de esta Comisión. Todo el proceso debe estar terminado antes de finalizar el año.</w:t>
      </w:r>
    </w:p>
    <w:p w:rsidR="00522ECA" w:rsidRPr="00522ECA" w:rsidRDefault="00522ECA" w:rsidP="009A275F">
      <w:pPr>
        <w:pStyle w:val="NormalWeb"/>
        <w:ind w:firstLine="708"/>
        <w:jc w:val="both"/>
        <w:rPr>
          <w:color w:val="000000"/>
        </w:rPr>
      </w:pPr>
      <w:r>
        <w:rPr>
          <w:color w:val="000000"/>
        </w:rPr>
        <w:t xml:space="preserve">Tras la explicación del proceso, el </w:t>
      </w:r>
      <w:r w:rsidRPr="009A275F">
        <w:rPr>
          <w:i/>
          <w:color w:val="000000"/>
        </w:rPr>
        <w:t xml:space="preserve">Sr. </w:t>
      </w:r>
      <w:r w:rsidR="009A275F" w:rsidRPr="009A275F">
        <w:rPr>
          <w:i/>
          <w:lang w:val="es"/>
        </w:rPr>
        <w:t>Director del Área de Gestión e Inspección Tributaria</w:t>
      </w:r>
      <w:r>
        <w:rPr>
          <w:color w:val="000000"/>
        </w:rPr>
        <w:t xml:space="preserve"> se dispone a explicar de manera breve, l</w:t>
      </w:r>
      <w:r w:rsidRPr="00522ECA">
        <w:rPr>
          <w:color w:val="000000"/>
        </w:rPr>
        <w:t>as modificaciones de la</w:t>
      </w:r>
      <w:bookmarkStart w:id="0" w:name="_GoBack"/>
      <w:bookmarkEnd w:id="0"/>
      <w:r w:rsidRPr="00522ECA">
        <w:rPr>
          <w:color w:val="000000"/>
        </w:rPr>
        <w:t xml:space="preserve"> Ordenanzas más significativas:</w:t>
      </w:r>
    </w:p>
    <w:p w:rsidR="00522ECA" w:rsidRPr="00522ECA" w:rsidRDefault="00522ECA" w:rsidP="00522ECA">
      <w:pPr>
        <w:pStyle w:val="NormalWeb"/>
        <w:jc w:val="both"/>
        <w:rPr>
          <w:i/>
          <w:color w:val="000000"/>
          <w:u w:val="single"/>
        </w:rPr>
      </w:pPr>
      <w:r w:rsidRPr="00522ECA">
        <w:rPr>
          <w:i/>
          <w:color w:val="000000"/>
          <w:u w:val="single"/>
        </w:rPr>
        <w:t>ORDENANZA 1 FISCAL GENERAL DE GESTIÓN, INSPECCIÓN Y RECAUDACIÓN</w:t>
      </w:r>
    </w:p>
    <w:p w:rsidR="00522ECA" w:rsidRPr="00522ECA" w:rsidRDefault="00522ECA" w:rsidP="00522ECA">
      <w:pPr>
        <w:pStyle w:val="NormalWeb"/>
        <w:jc w:val="both"/>
        <w:rPr>
          <w:i/>
          <w:color w:val="000000"/>
        </w:rPr>
      </w:pPr>
      <w:r w:rsidRPr="00522ECA">
        <w:rPr>
          <w:i/>
          <w:color w:val="000000"/>
        </w:rPr>
        <w:t>Se ha procedido a adaptarla a lo previsto en la Ley 11/2021, de 9 de julio de prevención y lucha contra el fraude fiscal que modifica la Ley General Tributaria en cuanto a los recargos por declaración extemporánea (art 8 y 9), cómputo de plazo para cálculo de los intereses de demora por devoluciones derivados de la normativa del tributo o por ingresos indebidos (art. 13 y 14), reducción de las sanciones tributarias por conformidad (art 132) y modificación del plazo de inicio de expedientes sancionadores (art. 137).</w:t>
      </w:r>
    </w:p>
    <w:p w:rsidR="00522ECA" w:rsidRPr="00522ECA" w:rsidRDefault="00522ECA" w:rsidP="00522ECA">
      <w:pPr>
        <w:pStyle w:val="NormalWeb"/>
        <w:jc w:val="both"/>
        <w:rPr>
          <w:i/>
          <w:color w:val="000000"/>
        </w:rPr>
      </w:pPr>
      <w:r w:rsidRPr="00522ECA">
        <w:rPr>
          <w:i/>
          <w:color w:val="000000"/>
        </w:rPr>
        <w:lastRenderedPageBreak/>
        <w:t>También en el art 35 relativo al pago de la deuda tributaria, se incluye el pago por giro postal en las oficinas de correos y los motivos de cancelación de las domiciliaciones bancarias.</w:t>
      </w:r>
    </w:p>
    <w:p w:rsidR="00522ECA" w:rsidRPr="00522ECA" w:rsidRDefault="00522ECA" w:rsidP="00522ECA">
      <w:pPr>
        <w:pStyle w:val="NormalWeb"/>
        <w:jc w:val="both"/>
        <w:rPr>
          <w:i/>
          <w:color w:val="000000"/>
        </w:rPr>
      </w:pPr>
      <w:r w:rsidRPr="00522ECA">
        <w:rPr>
          <w:i/>
          <w:color w:val="000000"/>
        </w:rPr>
        <w:t>En el artículo 39 se clarifican las cuestiones relativas a los aplazamientos y fraccionamientos estableciéndose, cuando el contribuyente no lo haya indicado en su solicitud, el número de plazos para el pago en función del importe de la deuda, manteniéndose el máximo de 30 plazos para las personas físicas y de 24 para las personas jurídicas.</w:t>
      </w:r>
    </w:p>
    <w:p w:rsidR="00522ECA" w:rsidRPr="00522ECA" w:rsidRDefault="00522ECA" w:rsidP="00522ECA">
      <w:pPr>
        <w:pStyle w:val="NormalWeb"/>
        <w:jc w:val="both"/>
        <w:rPr>
          <w:i/>
          <w:color w:val="000000"/>
        </w:rPr>
      </w:pPr>
      <w:r w:rsidRPr="00522ECA">
        <w:rPr>
          <w:i/>
          <w:color w:val="000000"/>
        </w:rPr>
        <w:t>Finalmente, en el artículo 89 se prevé que las actuaciones inspectoras puedan realizarse por videoconferencia al amparo de lo previsto en el Real Decreto Ley 22/2020, de 16 de junio de creación del Fondo COVID-19 cuya Disposición final primera que modifica los artículos 99 y el 151 de la LGT.</w:t>
      </w:r>
    </w:p>
    <w:p w:rsidR="00522ECA" w:rsidRPr="00522ECA" w:rsidRDefault="00522ECA" w:rsidP="00522ECA">
      <w:pPr>
        <w:pStyle w:val="NormalWeb"/>
        <w:jc w:val="both"/>
        <w:rPr>
          <w:i/>
          <w:color w:val="000000"/>
          <w:u w:val="single"/>
        </w:rPr>
      </w:pPr>
      <w:r w:rsidRPr="00522ECA">
        <w:rPr>
          <w:i/>
          <w:color w:val="000000"/>
          <w:u w:val="single"/>
        </w:rPr>
        <w:t>ORDENANZA 3 IMPUESTO BIENES INMUEBLES</w:t>
      </w:r>
    </w:p>
    <w:p w:rsidR="00522ECA" w:rsidRPr="00522ECA" w:rsidRDefault="00522ECA" w:rsidP="00522ECA">
      <w:pPr>
        <w:pStyle w:val="NormalWeb"/>
        <w:jc w:val="both"/>
        <w:rPr>
          <w:i/>
          <w:color w:val="000000"/>
        </w:rPr>
      </w:pPr>
      <w:r w:rsidRPr="00522ECA">
        <w:rPr>
          <w:i/>
          <w:color w:val="000000"/>
        </w:rPr>
        <w:t>Creación de una bonificación del 95% para Actividades económicas declaradas de especial interés o utilidad municipal referida a los Centros Especiales de Empleo. Es una bonificación rogada que se concede por el Pleno Municipal. Se regulan los requisitos y la comprobación anual del cumplimiento de los mismos.</w:t>
      </w:r>
    </w:p>
    <w:p w:rsidR="00522ECA" w:rsidRPr="00522ECA" w:rsidRDefault="00522ECA" w:rsidP="00522ECA">
      <w:pPr>
        <w:pStyle w:val="NormalWeb"/>
        <w:jc w:val="both"/>
        <w:rPr>
          <w:i/>
          <w:color w:val="000000"/>
          <w:u w:val="single"/>
        </w:rPr>
      </w:pPr>
      <w:r w:rsidRPr="00522ECA">
        <w:rPr>
          <w:i/>
          <w:color w:val="000000"/>
          <w:u w:val="single"/>
        </w:rPr>
        <w:t>ORDENANZA 4 IMPUESTO ACTIVIDADES ECONOMICAS</w:t>
      </w:r>
    </w:p>
    <w:p w:rsidR="00522ECA" w:rsidRPr="00522ECA" w:rsidRDefault="00522ECA" w:rsidP="00522ECA">
      <w:pPr>
        <w:pStyle w:val="NormalWeb"/>
        <w:jc w:val="both"/>
        <w:rPr>
          <w:i/>
          <w:color w:val="000000"/>
        </w:rPr>
      </w:pPr>
      <w:r w:rsidRPr="00522ECA">
        <w:rPr>
          <w:i/>
          <w:color w:val="000000"/>
        </w:rPr>
        <w:t>Modificación de la regulación de la bonificación por creación de empleo, aclarando la documentación a presentar y el tratamiento cuando existen varios centros de trabajo.</w:t>
      </w:r>
    </w:p>
    <w:p w:rsidR="00522ECA" w:rsidRPr="00522ECA" w:rsidRDefault="00522ECA" w:rsidP="00522ECA">
      <w:pPr>
        <w:pStyle w:val="NormalWeb"/>
        <w:jc w:val="both"/>
        <w:rPr>
          <w:i/>
          <w:color w:val="000000"/>
          <w:u w:val="single"/>
        </w:rPr>
      </w:pPr>
      <w:r w:rsidRPr="00522ECA">
        <w:rPr>
          <w:i/>
          <w:color w:val="000000"/>
          <w:u w:val="single"/>
        </w:rPr>
        <w:t>ORDENANZA 6 IMPUESTO CONSTRUCCIONES INSTALACIONES Y OBRAS</w:t>
      </w:r>
    </w:p>
    <w:p w:rsidR="00522ECA" w:rsidRPr="00522ECA" w:rsidRDefault="00522ECA" w:rsidP="00522ECA">
      <w:pPr>
        <w:pStyle w:val="NormalWeb"/>
        <w:jc w:val="both"/>
        <w:rPr>
          <w:i/>
          <w:color w:val="000000"/>
        </w:rPr>
      </w:pPr>
      <w:r w:rsidRPr="00522ECA">
        <w:rPr>
          <w:i/>
          <w:color w:val="000000"/>
        </w:rPr>
        <w:t>Inclusión de una letra c) en el artículo dos para declarar no sujetos al impuesto los actos no sujetos a título habilitante urbanístico regulados en la Ley 1/2020, de 8 de octubre, por la que se modifica la Ley 9/2011, de 17 de julio, del Suelo de la Comunidad de Madrid.</w:t>
      </w:r>
    </w:p>
    <w:p w:rsidR="00522ECA" w:rsidRPr="00522ECA" w:rsidRDefault="00522ECA" w:rsidP="00522ECA">
      <w:pPr>
        <w:pStyle w:val="NormalWeb"/>
        <w:jc w:val="both"/>
        <w:rPr>
          <w:i/>
          <w:color w:val="000000"/>
        </w:rPr>
      </w:pPr>
      <w:r w:rsidRPr="00522ECA">
        <w:rPr>
          <w:i/>
          <w:color w:val="000000"/>
        </w:rPr>
        <w:t>Aclaración a las bonificaciones previstas en los apartados 5 y 6 del artículo 3 relativas a las obras que favorecen las condiciones de acceso y habitabilidad de las personas con discapacidad y la instalación de puntos de recarga de vehículos eléctricos.</w:t>
      </w:r>
    </w:p>
    <w:p w:rsidR="00522ECA" w:rsidRPr="00522ECA" w:rsidRDefault="00522ECA" w:rsidP="00522ECA">
      <w:pPr>
        <w:pStyle w:val="NormalWeb"/>
        <w:jc w:val="both"/>
        <w:rPr>
          <w:i/>
          <w:color w:val="000000"/>
          <w:u w:val="single"/>
        </w:rPr>
      </w:pPr>
      <w:r w:rsidRPr="00522ECA">
        <w:rPr>
          <w:i/>
          <w:color w:val="000000"/>
          <w:u w:val="single"/>
        </w:rPr>
        <w:t>ORDENANZA 7 IMPUESTO SOBRE EL INCREMENTO DEL VALOR DE LOS TERRENOS DE NATURALEZA URBANA</w:t>
      </w:r>
    </w:p>
    <w:p w:rsidR="00522ECA" w:rsidRPr="00522ECA" w:rsidRDefault="00522ECA" w:rsidP="00522ECA">
      <w:pPr>
        <w:pStyle w:val="NormalWeb"/>
        <w:jc w:val="both"/>
        <w:rPr>
          <w:i/>
          <w:color w:val="000000"/>
        </w:rPr>
      </w:pPr>
      <w:r w:rsidRPr="00522ECA">
        <w:rPr>
          <w:i/>
          <w:color w:val="000000"/>
        </w:rPr>
        <w:t>En el artículo 6 se aclara el plazo para la presentación de la bonificación por adquisición de la vivienda habitual por fallecimiento del titular.</w:t>
      </w:r>
    </w:p>
    <w:p w:rsidR="00522ECA" w:rsidRPr="00522ECA" w:rsidRDefault="00522ECA" w:rsidP="00522ECA">
      <w:pPr>
        <w:pStyle w:val="NormalWeb"/>
        <w:jc w:val="both"/>
        <w:rPr>
          <w:i/>
          <w:color w:val="000000"/>
          <w:u w:val="single"/>
        </w:rPr>
      </w:pPr>
      <w:r w:rsidRPr="00522ECA">
        <w:rPr>
          <w:i/>
          <w:color w:val="000000"/>
          <w:u w:val="single"/>
        </w:rPr>
        <w:t>ORDENANZA 9 TASAS POR PRESTACION SERVICIOS URBANÍSTICOS</w:t>
      </w:r>
    </w:p>
    <w:p w:rsidR="00522ECA" w:rsidRPr="00522ECA" w:rsidRDefault="00522ECA" w:rsidP="00522ECA">
      <w:pPr>
        <w:pStyle w:val="NormalWeb"/>
        <w:jc w:val="both"/>
        <w:rPr>
          <w:i/>
          <w:color w:val="000000"/>
        </w:rPr>
      </w:pPr>
      <w:r w:rsidRPr="00522ECA">
        <w:rPr>
          <w:i/>
          <w:color w:val="000000"/>
        </w:rPr>
        <w:t>Inclusión de una letra c) en el artículo dos para declarar no sujetos al impuesto los actos no sujetos a título habilitante urbanístico regulados en la Ley 1/2020, de 8 de octubre, por la que se modifica la Ley 9/2011, de 17 de julio, del Suelo de la Comunidad de Madrid.</w:t>
      </w:r>
    </w:p>
    <w:p w:rsidR="00522ECA" w:rsidRPr="00522ECA" w:rsidRDefault="00522ECA" w:rsidP="00522ECA">
      <w:pPr>
        <w:pStyle w:val="NormalWeb"/>
        <w:jc w:val="both"/>
        <w:rPr>
          <w:i/>
          <w:color w:val="000000"/>
        </w:rPr>
      </w:pPr>
      <w:r w:rsidRPr="00522ECA">
        <w:rPr>
          <w:i/>
          <w:color w:val="000000"/>
        </w:rPr>
        <w:lastRenderedPageBreak/>
        <w:t>Aclaración de aplicación de las tarifas a la modificación de licencias de obras modificando los apartados 3, 4 y 5 del artículo 11 diferenciando entre las que suponen una modificación sustancial del proyecto Básico o de Ejecución de aquéllas que no tienen tal carácter.</w:t>
      </w:r>
    </w:p>
    <w:p w:rsidR="00522ECA" w:rsidRPr="00522ECA" w:rsidRDefault="00522ECA" w:rsidP="00522ECA">
      <w:pPr>
        <w:pStyle w:val="NormalWeb"/>
        <w:jc w:val="both"/>
        <w:rPr>
          <w:i/>
          <w:color w:val="000000"/>
          <w:u w:val="single"/>
        </w:rPr>
      </w:pPr>
      <w:r w:rsidRPr="00522ECA">
        <w:rPr>
          <w:i/>
          <w:color w:val="000000"/>
          <w:u w:val="single"/>
        </w:rPr>
        <w:t>ORDENANZA 12 TASA DE BASURAS</w:t>
      </w:r>
    </w:p>
    <w:p w:rsidR="00522ECA" w:rsidRPr="00522ECA" w:rsidRDefault="00522ECA" w:rsidP="00522ECA">
      <w:pPr>
        <w:pStyle w:val="NormalWeb"/>
        <w:jc w:val="both"/>
        <w:rPr>
          <w:i/>
          <w:color w:val="000000"/>
        </w:rPr>
      </w:pPr>
      <w:r w:rsidRPr="00522ECA">
        <w:rPr>
          <w:i/>
          <w:color w:val="000000"/>
        </w:rPr>
        <w:t>Se escala la tarifa nº 12 del artículo 6 en función de la superficie del establecimiento</w:t>
      </w:r>
    </w:p>
    <w:p w:rsidR="00522ECA" w:rsidRDefault="00522ECA" w:rsidP="00522ECA">
      <w:pPr>
        <w:pStyle w:val="NormalWeb"/>
        <w:jc w:val="both"/>
        <w:rPr>
          <w:i/>
          <w:color w:val="000000"/>
        </w:rPr>
      </w:pPr>
      <w:r w:rsidRPr="00522ECA">
        <w:rPr>
          <w:i/>
          <w:color w:val="000000"/>
        </w:rPr>
        <w:t>Se crea un nuevo título IX relativo al devengo de la tasa y el Título X para la declaración e ingreso.</w:t>
      </w:r>
    </w:p>
    <w:p w:rsidR="00522ECA" w:rsidRPr="00522ECA" w:rsidRDefault="00522ECA" w:rsidP="00522ECA">
      <w:pPr>
        <w:pStyle w:val="NormalWeb"/>
        <w:jc w:val="both"/>
        <w:rPr>
          <w:color w:val="000000"/>
        </w:rPr>
      </w:pPr>
      <w:r>
        <w:rPr>
          <w:color w:val="000000"/>
        </w:rPr>
        <w:tab/>
        <w:t xml:space="preserve">En este aspecto, </w:t>
      </w:r>
      <w:r w:rsidR="000B168E">
        <w:rPr>
          <w:color w:val="000000"/>
        </w:rPr>
        <w:t>aclara</w:t>
      </w:r>
      <w:r>
        <w:rPr>
          <w:color w:val="000000"/>
        </w:rPr>
        <w:t xml:space="preserve"> la Sra. Presidenta que el motivo de esta modificación es </w:t>
      </w:r>
      <w:r w:rsidR="000B168E">
        <w:rPr>
          <w:color w:val="000000"/>
        </w:rPr>
        <w:t xml:space="preserve">que han aparecido </w:t>
      </w:r>
      <w:r>
        <w:rPr>
          <w:color w:val="000000"/>
        </w:rPr>
        <w:t xml:space="preserve">nuevos negocios con características diferentes (ejemplo Escape </w:t>
      </w:r>
      <w:proofErr w:type="spellStart"/>
      <w:r>
        <w:rPr>
          <w:color w:val="000000"/>
        </w:rPr>
        <w:t>Room</w:t>
      </w:r>
      <w:proofErr w:type="spellEnd"/>
      <w:r>
        <w:rPr>
          <w:color w:val="000000"/>
        </w:rPr>
        <w:t xml:space="preserve">) </w:t>
      </w:r>
      <w:r w:rsidR="000B168E">
        <w:rPr>
          <w:color w:val="000000"/>
        </w:rPr>
        <w:t>que pagan una tasa por emisión de residuos desproporcionada a sus ingresos.</w:t>
      </w:r>
    </w:p>
    <w:p w:rsidR="00522ECA" w:rsidRPr="00522ECA" w:rsidRDefault="00522ECA" w:rsidP="00522ECA">
      <w:pPr>
        <w:pStyle w:val="NormalWeb"/>
        <w:jc w:val="both"/>
        <w:rPr>
          <w:i/>
          <w:color w:val="000000"/>
          <w:u w:val="single"/>
        </w:rPr>
      </w:pPr>
      <w:r w:rsidRPr="00522ECA">
        <w:rPr>
          <w:i/>
          <w:color w:val="000000"/>
          <w:u w:val="single"/>
        </w:rPr>
        <w:t>ORDENANZA 17 TASA POR INSTALACIÓN EN LA VÍA PÚBLICA DE QUIOSCOS, INDUSTRIAS CALLEJERAS Y AMBULANTES ASI COMO QUIOSCOS Y POSTES PUBLICITARIOS, CASETAS, OFICINAS PREFABRICADAS Y SIMILARES</w:t>
      </w:r>
    </w:p>
    <w:p w:rsidR="00522ECA" w:rsidRDefault="00522ECA" w:rsidP="00522ECA">
      <w:pPr>
        <w:pStyle w:val="NormalWeb"/>
        <w:jc w:val="both"/>
        <w:rPr>
          <w:i/>
          <w:color w:val="000000"/>
        </w:rPr>
      </w:pPr>
      <w:r w:rsidRPr="00522ECA">
        <w:rPr>
          <w:i/>
          <w:color w:val="000000"/>
        </w:rPr>
        <w:t>Se equipará el devengo de la tasa del artículo 2 con la redacción del resto de Ordenanzas de ocupación de vía pública.</w:t>
      </w:r>
    </w:p>
    <w:p w:rsidR="00522ECA" w:rsidRPr="00522ECA" w:rsidRDefault="00522ECA" w:rsidP="00522ECA">
      <w:pPr>
        <w:pStyle w:val="NormalWeb"/>
        <w:jc w:val="both"/>
        <w:rPr>
          <w:i/>
          <w:color w:val="000000"/>
          <w:u w:val="single"/>
        </w:rPr>
      </w:pPr>
      <w:r w:rsidRPr="00522ECA">
        <w:rPr>
          <w:i/>
          <w:color w:val="000000"/>
          <w:u w:val="single"/>
        </w:rPr>
        <w:t>ORDENANZA 20 TASA POR INSTALACIÓN DE PUESTOS, BARRACAS, CASETAS DE VENTA, ESPECTÁCULOS O ATRACCIONES SITUADAS EN TERRENOS DE USO PÚBLICO</w:t>
      </w:r>
    </w:p>
    <w:p w:rsidR="00522ECA" w:rsidRPr="00522ECA" w:rsidRDefault="00522ECA" w:rsidP="00522ECA">
      <w:pPr>
        <w:pStyle w:val="NormalWeb"/>
        <w:jc w:val="both"/>
        <w:rPr>
          <w:i/>
          <w:color w:val="000000"/>
        </w:rPr>
      </w:pPr>
      <w:r w:rsidRPr="00522ECA">
        <w:rPr>
          <w:i/>
          <w:color w:val="000000"/>
        </w:rPr>
        <w:t>Se modifica la nota al grupo 2 de las tarifas para que el cobro por instalación de sillas en espectáculos se produzca cuando se lleve a cabo por los servicios municipales.</w:t>
      </w:r>
    </w:p>
    <w:p w:rsidR="00522ECA" w:rsidRPr="00522ECA" w:rsidRDefault="00522ECA" w:rsidP="00522ECA">
      <w:pPr>
        <w:pStyle w:val="NormalWeb"/>
        <w:jc w:val="both"/>
        <w:rPr>
          <w:i/>
          <w:color w:val="000000"/>
          <w:u w:val="single"/>
        </w:rPr>
      </w:pPr>
      <w:r w:rsidRPr="00522ECA">
        <w:rPr>
          <w:i/>
          <w:color w:val="000000"/>
          <w:u w:val="single"/>
        </w:rPr>
        <w:t>ORDENANZA 21 TASA POR PASO DE VEHÍCULOS</w:t>
      </w:r>
    </w:p>
    <w:p w:rsidR="00522ECA" w:rsidRPr="00522ECA" w:rsidRDefault="00522ECA" w:rsidP="00522ECA">
      <w:pPr>
        <w:pStyle w:val="NormalWeb"/>
        <w:jc w:val="both"/>
        <w:rPr>
          <w:i/>
          <w:color w:val="000000"/>
        </w:rPr>
      </w:pPr>
      <w:r w:rsidRPr="00522ECA">
        <w:rPr>
          <w:i/>
          <w:color w:val="000000"/>
        </w:rPr>
        <w:t>Se añade a la nota 2 de las Tarifas del artículo 6 los camiones de descarga de combustible con el mismo tratamiento que las mudanzas.</w:t>
      </w:r>
    </w:p>
    <w:p w:rsidR="00522ECA" w:rsidRPr="00522ECA" w:rsidRDefault="00522ECA" w:rsidP="00522ECA">
      <w:pPr>
        <w:pStyle w:val="NormalWeb"/>
        <w:jc w:val="both"/>
        <w:rPr>
          <w:i/>
          <w:color w:val="000000"/>
          <w:u w:val="single"/>
        </w:rPr>
      </w:pPr>
      <w:r w:rsidRPr="00522ECA">
        <w:rPr>
          <w:i/>
          <w:color w:val="000000"/>
          <w:u w:val="single"/>
        </w:rPr>
        <w:t>ORDENANZA FISCAL 28 TASA POR UTILIZACIÓN DE LAS DEPENDENCIAS E INSTALACIONES MUNICIPALES</w:t>
      </w:r>
    </w:p>
    <w:p w:rsidR="00522ECA" w:rsidRPr="00522ECA" w:rsidRDefault="00522ECA" w:rsidP="00522ECA">
      <w:pPr>
        <w:pStyle w:val="NormalWeb"/>
        <w:jc w:val="both"/>
        <w:rPr>
          <w:i/>
          <w:color w:val="000000"/>
        </w:rPr>
      </w:pPr>
      <w:r w:rsidRPr="00522ECA">
        <w:rPr>
          <w:i/>
          <w:color w:val="000000"/>
        </w:rPr>
        <w:t>Se modifica el artículo 3 en cuanto a la determinación de los sujetos pasivos incluyendo a las personas jurídicas y entidades del artículo 35.4 de la LGT.</w:t>
      </w:r>
    </w:p>
    <w:p w:rsidR="00522ECA" w:rsidRPr="00522ECA" w:rsidRDefault="00522ECA" w:rsidP="00522ECA">
      <w:pPr>
        <w:pStyle w:val="NormalWeb"/>
        <w:jc w:val="both"/>
        <w:rPr>
          <w:i/>
          <w:color w:val="000000"/>
        </w:rPr>
      </w:pPr>
      <w:r w:rsidRPr="00522ECA">
        <w:rPr>
          <w:i/>
          <w:color w:val="000000"/>
        </w:rPr>
        <w:t>Se aclara la renuncia para la celebración de matrimonios</w:t>
      </w:r>
    </w:p>
    <w:p w:rsidR="00522ECA" w:rsidRPr="00522ECA" w:rsidRDefault="00522ECA" w:rsidP="00522ECA">
      <w:pPr>
        <w:pStyle w:val="NormalWeb"/>
        <w:jc w:val="both"/>
        <w:rPr>
          <w:i/>
          <w:color w:val="000000"/>
          <w:u w:val="single"/>
        </w:rPr>
      </w:pPr>
      <w:r w:rsidRPr="00522ECA">
        <w:rPr>
          <w:i/>
          <w:color w:val="000000"/>
          <w:u w:val="single"/>
        </w:rPr>
        <w:t>ORDENANZA 31 TASAS DE LAS CIUDADES DEPORTIVAS</w:t>
      </w:r>
    </w:p>
    <w:p w:rsidR="00522ECA" w:rsidRPr="00522ECA" w:rsidRDefault="00522ECA" w:rsidP="00522ECA">
      <w:pPr>
        <w:pStyle w:val="NormalWeb"/>
        <w:jc w:val="both"/>
        <w:rPr>
          <w:i/>
          <w:color w:val="000000"/>
        </w:rPr>
      </w:pPr>
      <w:r w:rsidRPr="00522ECA">
        <w:rPr>
          <w:i/>
          <w:color w:val="000000"/>
        </w:rPr>
        <w:t>Se han realizado diversos cambios en las tarifas de las actividades de las Ciudades Deportivas Municipales.</w:t>
      </w:r>
    </w:p>
    <w:p w:rsidR="000B168E" w:rsidRPr="000B168E" w:rsidRDefault="000B168E" w:rsidP="000B168E">
      <w:pPr>
        <w:pStyle w:val="NormalWeb"/>
        <w:ind w:firstLine="708"/>
        <w:jc w:val="both"/>
        <w:rPr>
          <w:i/>
          <w:color w:val="000000"/>
        </w:rPr>
      </w:pPr>
      <w:r>
        <w:rPr>
          <w:color w:val="000000"/>
        </w:rPr>
        <w:lastRenderedPageBreak/>
        <w:t>En este aspecto, aclara la Sra. Presidenta que esta modificación es consecuencia de aprobación de mociones plenarias que lógicamente había que reflejar en los precios.</w:t>
      </w:r>
    </w:p>
    <w:p w:rsidR="00522ECA" w:rsidRPr="00522ECA" w:rsidRDefault="00522ECA" w:rsidP="00522ECA">
      <w:pPr>
        <w:pStyle w:val="NormalWeb"/>
        <w:jc w:val="both"/>
        <w:rPr>
          <w:i/>
          <w:color w:val="000000"/>
          <w:u w:val="single"/>
        </w:rPr>
      </w:pPr>
      <w:r w:rsidRPr="00522ECA">
        <w:rPr>
          <w:i/>
          <w:color w:val="000000"/>
          <w:u w:val="single"/>
        </w:rPr>
        <w:t>PRECIOS PUBLICOS</w:t>
      </w:r>
    </w:p>
    <w:p w:rsidR="00522ECA" w:rsidRPr="00522ECA" w:rsidRDefault="00522ECA" w:rsidP="00522ECA">
      <w:pPr>
        <w:pStyle w:val="NormalWeb"/>
        <w:jc w:val="both"/>
        <w:rPr>
          <w:i/>
          <w:color w:val="000000"/>
        </w:rPr>
      </w:pPr>
      <w:r w:rsidRPr="00522ECA">
        <w:rPr>
          <w:i/>
          <w:color w:val="000000"/>
        </w:rPr>
        <w:t>Se crea el Precio Público por utilización del Auditorio del Centro Sociocultural Gilitos</w:t>
      </w:r>
    </w:p>
    <w:p w:rsidR="00522ECA" w:rsidRPr="00522ECA" w:rsidRDefault="00522ECA" w:rsidP="00522ECA">
      <w:pPr>
        <w:pStyle w:val="NormalWeb"/>
        <w:jc w:val="both"/>
        <w:rPr>
          <w:i/>
          <w:color w:val="000000"/>
          <w:u w:val="single"/>
        </w:rPr>
      </w:pPr>
      <w:r w:rsidRPr="00522ECA">
        <w:rPr>
          <w:i/>
          <w:color w:val="000000"/>
          <w:u w:val="single"/>
        </w:rPr>
        <w:t>PAGO A LA CARTA</w:t>
      </w:r>
    </w:p>
    <w:p w:rsidR="00522ECA" w:rsidRPr="00522ECA" w:rsidRDefault="00522ECA" w:rsidP="00522ECA">
      <w:pPr>
        <w:pStyle w:val="NormalWeb"/>
        <w:jc w:val="both"/>
        <w:rPr>
          <w:i/>
          <w:color w:val="000000"/>
        </w:rPr>
      </w:pPr>
      <w:r w:rsidRPr="00522ECA">
        <w:rPr>
          <w:i/>
          <w:color w:val="000000"/>
        </w:rPr>
        <w:t>Diversas modificaciones en cuanto a cómo adherirse al sistema de pago a la carta y formas de obtener información incluyendo correo elec</w:t>
      </w:r>
      <w:r w:rsidR="000B168E">
        <w:rPr>
          <w:i/>
          <w:color w:val="000000"/>
        </w:rPr>
        <w:t>trónico, página web, presencial</w:t>
      </w:r>
      <w:r w:rsidRPr="00522ECA">
        <w:rPr>
          <w:i/>
          <w:color w:val="000000"/>
        </w:rPr>
        <w:t>.</w:t>
      </w:r>
    </w:p>
    <w:p w:rsidR="00522ECA" w:rsidRPr="00522ECA" w:rsidRDefault="00522ECA" w:rsidP="00522ECA">
      <w:pPr>
        <w:pStyle w:val="NormalWeb"/>
        <w:jc w:val="both"/>
        <w:rPr>
          <w:i/>
          <w:color w:val="000000"/>
          <w:u w:val="single"/>
        </w:rPr>
      </w:pPr>
      <w:r w:rsidRPr="00522ECA">
        <w:rPr>
          <w:i/>
          <w:color w:val="000000"/>
          <w:u w:val="single"/>
        </w:rPr>
        <w:t>CALLES</w:t>
      </w:r>
    </w:p>
    <w:p w:rsidR="00522ECA" w:rsidRPr="00522ECA" w:rsidRDefault="00522ECA" w:rsidP="00522ECA">
      <w:pPr>
        <w:pStyle w:val="NormalWeb"/>
        <w:jc w:val="both"/>
        <w:rPr>
          <w:i/>
          <w:color w:val="000000"/>
        </w:rPr>
      </w:pPr>
      <w:r w:rsidRPr="00522ECA">
        <w:rPr>
          <w:i/>
          <w:color w:val="000000"/>
        </w:rPr>
        <w:t>Se han incluido 2 nuevas vías públicas en el callejero fiscal municipal.</w:t>
      </w:r>
    </w:p>
    <w:p w:rsidR="00713C49" w:rsidRPr="007149F1" w:rsidRDefault="00713C49" w:rsidP="00155A9D">
      <w:pPr>
        <w:widowControl w:val="0"/>
        <w:autoSpaceDE w:val="0"/>
        <w:autoSpaceDN w:val="0"/>
        <w:adjustRightInd w:val="0"/>
        <w:jc w:val="both"/>
      </w:pPr>
    </w:p>
    <w:p w:rsidR="00713C49" w:rsidRDefault="008D1745" w:rsidP="00155A9D">
      <w:pPr>
        <w:widowControl w:val="0"/>
        <w:autoSpaceDE w:val="0"/>
        <w:autoSpaceDN w:val="0"/>
        <w:adjustRightInd w:val="0"/>
        <w:jc w:val="both"/>
        <w:rPr>
          <w:lang w:val="es"/>
        </w:rPr>
      </w:pPr>
      <w:r>
        <w:rPr>
          <w:lang w:val="es"/>
        </w:rPr>
        <w:tab/>
        <w:t xml:space="preserve">Habiendo terminado su exposición, la </w:t>
      </w:r>
      <w:r w:rsidRPr="0098600B">
        <w:rPr>
          <w:i/>
          <w:u w:val="single"/>
          <w:lang w:val="es"/>
        </w:rPr>
        <w:t>Sra. Presidenta</w:t>
      </w:r>
      <w:r>
        <w:rPr>
          <w:lang w:val="es"/>
        </w:rPr>
        <w:t xml:space="preserve"> indica que podrán consultar el nuevo texto en dicha carpeta compartida y reitera que ante cualquier aclaración o duda, se pueden dirigir al Sr. Burgués o a ella misma. Recuerda que disponen de 10 días hábiles para pres</w:t>
      </w:r>
      <w:r w:rsidR="000B168E">
        <w:rPr>
          <w:lang w:val="es"/>
        </w:rPr>
        <w:t>entar las alegaciones/enmiendas, finalizando el día 22 de septiembre.</w:t>
      </w:r>
    </w:p>
    <w:p w:rsidR="00713C49" w:rsidRDefault="00713C49" w:rsidP="00155A9D">
      <w:pPr>
        <w:widowControl w:val="0"/>
        <w:autoSpaceDE w:val="0"/>
        <w:autoSpaceDN w:val="0"/>
        <w:adjustRightInd w:val="0"/>
        <w:jc w:val="both"/>
        <w:rPr>
          <w:lang w:val="es"/>
        </w:rPr>
      </w:pPr>
    </w:p>
    <w:p w:rsidR="00CC60EE" w:rsidRDefault="00CC60EE" w:rsidP="00CC60EE">
      <w:pPr>
        <w:widowControl w:val="0"/>
        <w:autoSpaceDE w:val="0"/>
        <w:autoSpaceDN w:val="0"/>
        <w:adjustRightInd w:val="0"/>
        <w:jc w:val="both"/>
        <w:rPr>
          <w:lang w:val="es"/>
        </w:rPr>
      </w:pPr>
    </w:p>
    <w:p w:rsidR="003C0531" w:rsidRPr="004C31EB" w:rsidRDefault="003C0531" w:rsidP="002D715C">
      <w:pPr>
        <w:widowControl w:val="0"/>
        <w:autoSpaceDE w:val="0"/>
        <w:autoSpaceDN w:val="0"/>
        <w:adjustRightInd w:val="0"/>
        <w:jc w:val="both"/>
        <w:rPr>
          <w:lang w:val="es"/>
        </w:rPr>
      </w:pPr>
    </w:p>
    <w:p w:rsidR="002D715C" w:rsidRPr="00C17A98" w:rsidRDefault="002D715C" w:rsidP="002D715C">
      <w:pPr>
        <w:tabs>
          <w:tab w:val="left" w:pos="180"/>
        </w:tabs>
        <w:overflowPunct w:val="0"/>
        <w:autoSpaceDE w:val="0"/>
        <w:autoSpaceDN w:val="0"/>
        <w:adjustRightInd w:val="0"/>
        <w:ind w:right="180"/>
        <w:jc w:val="both"/>
        <w:rPr>
          <w:bCs/>
          <w:lang w:val="es-ES_tradnl"/>
        </w:rPr>
      </w:pPr>
      <w:r w:rsidRPr="00C17A98">
        <w:rPr>
          <w:bCs/>
          <w:lang w:val="es-ES_tradnl"/>
        </w:rPr>
        <w:tab/>
      </w:r>
      <w:r w:rsidRPr="00C17A98">
        <w:rPr>
          <w:bCs/>
          <w:lang w:val="es-ES_tradnl"/>
        </w:rPr>
        <w:tab/>
      </w:r>
      <w:r w:rsidR="00143A9F">
        <w:t>No habiendo ningún tema más</w:t>
      </w:r>
      <w:r w:rsidRPr="00C17A98">
        <w:t xml:space="preserve"> que tratar, se da por finalizada la sesión a las </w:t>
      </w:r>
      <w:r w:rsidR="000B168E">
        <w:t>catorce</w:t>
      </w:r>
      <w:r>
        <w:t xml:space="preserve"> horas </w:t>
      </w:r>
      <w:r w:rsidRPr="00C17A98">
        <w:t xml:space="preserve">del día del encabezamiento, levantándose el presente Acta, compuesta de </w:t>
      </w:r>
      <w:r w:rsidR="000B168E">
        <w:t>cinco</w:t>
      </w:r>
      <w:r w:rsidRPr="00C17A98">
        <w:t xml:space="preserve"> hojas y que será sometida a la aprobación de sus miembros.</w:t>
      </w:r>
    </w:p>
    <w:p w:rsidR="00DB4A1D" w:rsidRPr="002D715C" w:rsidRDefault="00DB4A1D" w:rsidP="003F767A">
      <w:pPr>
        <w:spacing w:line="360" w:lineRule="auto"/>
        <w:jc w:val="both"/>
        <w:rPr>
          <w:lang w:val="es-ES_tradnl"/>
        </w:rPr>
      </w:pPr>
    </w:p>
    <w:p w:rsidR="00DB4A1D" w:rsidRDefault="00DB4A1D" w:rsidP="003F767A">
      <w:pPr>
        <w:spacing w:line="360" w:lineRule="auto"/>
        <w:jc w:val="both"/>
      </w:pPr>
    </w:p>
    <w:p w:rsidR="00DB4A1D" w:rsidRDefault="00DB4A1D" w:rsidP="003F767A">
      <w:pPr>
        <w:spacing w:line="360" w:lineRule="auto"/>
        <w:jc w:val="both"/>
      </w:pPr>
    </w:p>
    <w:p w:rsidR="00E3576D" w:rsidRPr="00467ECA" w:rsidRDefault="00E3576D" w:rsidP="00015E62">
      <w:pPr>
        <w:spacing w:line="360" w:lineRule="auto"/>
        <w:jc w:val="both"/>
        <w:rPr>
          <w:sz w:val="22"/>
          <w:szCs w:val="22"/>
        </w:rPr>
      </w:pPr>
    </w:p>
    <w:sectPr w:rsidR="00E3576D" w:rsidRPr="00467ECA" w:rsidSect="00452F55">
      <w:headerReference w:type="default" r:id="rId8"/>
      <w:footerReference w:type="even" r:id="rId9"/>
      <w:footerReference w:type="default" r:id="rId10"/>
      <w:pgSz w:w="11906" w:h="16838" w:code="9"/>
      <w:pgMar w:top="2875" w:right="1026" w:bottom="289" w:left="1701"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5C" w:rsidRDefault="002D715C">
      <w:r>
        <w:separator/>
      </w:r>
    </w:p>
  </w:endnote>
  <w:endnote w:type="continuationSeparator" w:id="0">
    <w:p w:rsidR="002D715C" w:rsidRDefault="002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D5" w:rsidRDefault="00AE33D5" w:rsidP="00757F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33D5" w:rsidRDefault="00AE33D5" w:rsidP="00AE33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99" w:rsidRDefault="0022285A" w:rsidP="00AE33D5">
    <w:pPr>
      <w:pStyle w:val="Piedepgina"/>
      <w:tabs>
        <w:tab w:val="clear" w:pos="8504"/>
        <w:tab w:val="right" w:pos="9540"/>
      </w:tabs>
      <w:ind w:right="360"/>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63500</wp:posOffset>
              </wp:positionV>
              <wp:extent cx="7200900" cy="342900"/>
              <wp:effectExtent l="381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7A" w:rsidRPr="003F767A" w:rsidRDefault="003A6EC6" w:rsidP="003F767A">
                          <w:pPr>
                            <w:jc w:val="center"/>
                            <w:rPr>
                              <w:color w:val="999999"/>
                              <w:sz w:val="16"/>
                              <w:szCs w:val="16"/>
                              <w:lang w:val="en-GB"/>
                            </w:rPr>
                          </w:pPr>
                          <w:r>
                            <w:rPr>
                              <w:color w:val="999999"/>
                              <w:sz w:val="16"/>
                              <w:szCs w:val="16"/>
                            </w:rPr>
                            <w:t>Plaza de Cervantes, 4</w:t>
                          </w:r>
                          <w:r w:rsidR="003F767A" w:rsidRPr="003F767A">
                            <w:rPr>
                              <w:color w:val="999999"/>
                              <w:sz w:val="16"/>
                              <w:szCs w:val="16"/>
                            </w:rPr>
                            <w:t xml:space="preserve"> – 28801 ALCALÁ DE HENARES. </w:t>
                          </w:r>
                          <w:proofErr w:type="spellStart"/>
                          <w:proofErr w:type="gramStart"/>
                          <w:r w:rsidR="003F767A" w:rsidRPr="003F767A">
                            <w:rPr>
                              <w:color w:val="999999"/>
                              <w:sz w:val="16"/>
                              <w:szCs w:val="16"/>
                              <w:lang w:val="en-GB"/>
                            </w:rPr>
                            <w:t>Telf</w:t>
                          </w:r>
                          <w:proofErr w:type="spellEnd"/>
                          <w:r w:rsidR="003F767A" w:rsidRPr="003F767A">
                            <w:rPr>
                              <w:color w:val="999999"/>
                              <w:sz w:val="16"/>
                              <w:szCs w:val="16"/>
                              <w:lang w:val="en-GB"/>
                            </w:rPr>
                            <w:t>.:</w:t>
                          </w:r>
                          <w:proofErr w:type="gramEnd"/>
                          <w:r w:rsidR="003F767A" w:rsidRPr="003F767A">
                            <w:rPr>
                              <w:color w:val="999999"/>
                              <w:sz w:val="16"/>
                              <w:szCs w:val="16"/>
                              <w:lang w:val="en-GB"/>
                            </w:rPr>
                            <w:t xml:space="preserve"> 91 888 33 00. </w:t>
                          </w:r>
                          <w:r>
                            <w:rPr>
                              <w:color w:val="999999"/>
                              <w:sz w:val="16"/>
                              <w:szCs w:val="16"/>
                              <w:lang w:val="en-GB"/>
                            </w:rPr>
                            <w:t xml:space="preserve">Ext 6802 </w:t>
                          </w:r>
                          <w:r w:rsidR="003F767A" w:rsidRPr="003F767A">
                            <w:rPr>
                              <w:color w:val="999999"/>
                              <w:sz w:val="16"/>
                              <w:szCs w:val="16"/>
                              <w:lang w:val="en-GB"/>
                            </w:rPr>
                            <w:t xml:space="preserve">E-mail: </w:t>
                          </w:r>
                          <w:r>
                            <w:rPr>
                              <w:color w:val="999999"/>
                              <w:sz w:val="16"/>
                              <w:szCs w:val="16"/>
                              <w:lang w:val="en-GB"/>
                            </w:rPr>
                            <w:t>concejalia.hacienda</w:t>
                          </w:r>
                          <w:r w:rsidR="003F767A" w:rsidRPr="003F767A">
                            <w:rPr>
                              <w:color w:val="999999"/>
                              <w:sz w:val="16"/>
                              <w:szCs w:val="16"/>
                              <w:lang w:val="en-GB"/>
                            </w:rPr>
                            <w:t>@ayto-alcaladehenares.es</w:t>
                          </w:r>
                        </w:p>
                        <w:p w:rsidR="000E7A53" w:rsidRPr="003F767A" w:rsidRDefault="00F153FC" w:rsidP="000E7A53">
                          <w:pPr>
                            <w:jc w:val="center"/>
                            <w:rPr>
                              <w:color w:val="999999"/>
                              <w:sz w:val="16"/>
                              <w:szCs w:val="16"/>
                              <w:lang w:val="en-GB"/>
                            </w:rPr>
                          </w:pPr>
                          <w:r w:rsidRPr="003F767A">
                            <w:rPr>
                              <w:color w:val="999999"/>
                              <w:sz w:val="16"/>
                              <w:szCs w:val="16"/>
                              <w:lang w:val="en-GB"/>
                            </w:rPr>
                            <w:t>.</w:t>
                          </w:r>
                        </w:p>
                        <w:p w:rsidR="00396199" w:rsidRPr="000E7A53" w:rsidRDefault="00396199" w:rsidP="000E7A53">
                          <w:pPr>
                            <w:rPr>
                              <w:color w:val="999999"/>
                              <w:szCs w:val="15"/>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3pt;margin-top:5pt;width:56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S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" filled="f" stroked="f">
              <v:textbox>
                <w:txbxContent>
                  <w:p w:rsidR="003F767A" w:rsidRPr="003F767A" w:rsidRDefault="003A6EC6" w:rsidP="003F767A">
                    <w:pPr>
                      <w:jc w:val="center"/>
                      <w:rPr>
                        <w:color w:val="999999"/>
                        <w:sz w:val="16"/>
                        <w:szCs w:val="16"/>
                        <w:lang w:val="en-GB"/>
                      </w:rPr>
                    </w:pPr>
                    <w:r>
                      <w:rPr>
                        <w:color w:val="999999"/>
                        <w:sz w:val="16"/>
                        <w:szCs w:val="16"/>
                      </w:rPr>
                      <w:t>Plaza de Cervantes, 4</w:t>
                    </w:r>
                    <w:r w:rsidR="003F767A" w:rsidRPr="003F767A">
                      <w:rPr>
                        <w:color w:val="999999"/>
                        <w:sz w:val="16"/>
                        <w:szCs w:val="16"/>
                      </w:rPr>
                      <w:t xml:space="preserve"> – 28801 ALCALÁ DE HENARES. </w:t>
                    </w:r>
                    <w:proofErr w:type="spellStart"/>
                    <w:proofErr w:type="gramStart"/>
                    <w:r w:rsidR="003F767A" w:rsidRPr="003F767A">
                      <w:rPr>
                        <w:color w:val="999999"/>
                        <w:sz w:val="16"/>
                        <w:szCs w:val="16"/>
                        <w:lang w:val="en-GB"/>
                      </w:rPr>
                      <w:t>Telf</w:t>
                    </w:r>
                    <w:proofErr w:type="spellEnd"/>
                    <w:r w:rsidR="003F767A" w:rsidRPr="003F767A">
                      <w:rPr>
                        <w:color w:val="999999"/>
                        <w:sz w:val="16"/>
                        <w:szCs w:val="16"/>
                        <w:lang w:val="en-GB"/>
                      </w:rPr>
                      <w:t>.:</w:t>
                    </w:r>
                    <w:proofErr w:type="gramEnd"/>
                    <w:r w:rsidR="003F767A" w:rsidRPr="003F767A">
                      <w:rPr>
                        <w:color w:val="999999"/>
                        <w:sz w:val="16"/>
                        <w:szCs w:val="16"/>
                        <w:lang w:val="en-GB"/>
                      </w:rPr>
                      <w:t xml:space="preserve"> 91 888 33 00. </w:t>
                    </w:r>
                    <w:r>
                      <w:rPr>
                        <w:color w:val="999999"/>
                        <w:sz w:val="16"/>
                        <w:szCs w:val="16"/>
                        <w:lang w:val="en-GB"/>
                      </w:rPr>
                      <w:t xml:space="preserve">Ext 6802 </w:t>
                    </w:r>
                    <w:r w:rsidR="003F767A" w:rsidRPr="003F767A">
                      <w:rPr>
                        <w:color w:val="999999"/>
                        <w:sz w:val="16"/>
                        <w:szCs w:val="16"/>
                        <w:lang w:val="en-GB"/>
                      </w:rPr>
                      <w:t xml:space="preserve">E-mail: </w:t>
                    </w:r>
                    <w:r>
                      <w:rPr>
                        <w:color w:val="999999"/>
                        <w:sz w:val="16"/>
                        <w:szCs w:val="16"/>
                        <w:lang w:val="en-GB"/>
                      </w:rPr>
                      <w:t>concejalia.hacienda</w:t>
                    </w:r>
                    <w:r w:rsidR="003F767A" w:rsidRPr="003F767A">
                      <w:rPr>
                        <w:color w:val="999999"/>
                        <w:sz w:val="16"/>
                        <w:szCs w:val="16"/>
                        <w:lang w:val="en-GB"/>
                      </w:rPr>
                      <w:t>@ayto-alcaladehenares.es</w:t>
                    </w:r>
                  </w:p>
                  <w:p w:rsidR="000E7A53" w:rsidRPr="003F767A" w:rsidRDefault="00F153FC" w:rsidP="000E7A53">
                    <w:pPr>
                      <w:jc w:val="center"/>
                      <w:rPr>
                        <w:color w:val="999999"/>
                        <w:sz w:val="16"/>
                        <w:szCs w:val="16"/>
                        <w:lang w:val="en-GB"/>
                      </w:rPr>
                    </w:pPr>
                    <w:r w:rsidRPr="003F767A">
                      <w:rPr>
                        <w:color w:val="999999"/>
                        <w:sz w:val="16"/>
                        <w:szCs w:val="16"/>
                        <w:lang w:val="en-GB"/>
                      </w:rPr>
                      <w:t>.</w:t>
                    </w:r>
                  </w:p>
                  <w:p w:rsidR="00396199" w:rsidRPr="000E7A53" w:rsidRDefault="00396199" w:rsidP="000E7A53">
                    <w:pPr>
                      <w:rPr>
                        <w:color w:val="999999"/>
                        <w:szCs w:val="15"/>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5C" w:rsidRDefault="002D715C">
      <w:r>
        <w:separator/>
      </w:r>
    </w:p>
  </w:footnote>
  <w:footnote w:type="continuationSeparator" w:id="0">
    <w:p w:rsidR="002D715C" w:rsidRDefault="002D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99" w:rsidRDefault="0022285A">
    <w:pPr>
      <w:pStyle w:val="Encabezado"/>
      <w:rPr>
        <w:sz w:val="2"/>
        <w:szCs w:val="2"/>
      </w:rPr>
    </w:pPr>
    <w:r>
      <w:rPr>
        <w:noProof/>
      </w:rPr>
      <w:drawing>
        <wp:anchor distT="0" distB="0" distL="114300" distR="114300" simplePos="0" relativeHeight="251658752" behindDoc="1" locked="0" layoutInCell="1" allowOverlap="1">
          <wp:simplePos x="0" y="0"/>
          <wp:positionH relativeFrom="column">
            <wp:posOffset>-340360</wp:posOffset>
          </wp:positionH>
          <wp:positionV relativeFrom="paragraph">
            <wp:posOffset>-250825</wp:posOffset>
          </wp:positionV>
          <wp:extent cx="6283960" cy="1158875"/>
          <wp:effectExtent l="0" t="0" r="2540" b="3175"/>
          <wp:wrapNone/>
          <wp:docPr id="9" name="Imagen 9" descr="cabecera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cera blanco y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6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199" w:rsidRDefault="00396199">
    <w:pPr>
      <w:pStyle w:val="Encabezado"/>
      <w:rPr>
        <w:sz w:val="2"/>
        <w:szCs w:val="2"/>
      </w:rPr>
    </w:pPr>
  </w:p>
  <w:p w:rsidR="00396199" w:rsidRDefault="00396199">
    <w:pPr>
      <w:pStyle w:val="Encabezado"/>
      <w:rPr>
        <w:sz w:val="2"/>
        <w:szCs w:val="2"/>
      </w:rPr>
    </w:pPr>
    <w:r>
      <w:rPr>
        <w:sz w:val="2"/>
        <w:szCs w:val="2"/>
      </w:rPr>
      <w:tab/>
    </w:r>
    <w:r>
      <w:rPr>
        <w:sz w:val="2"/>
        <w:szCs w:val="2"/>
      </w:rPr>
      <w:tab/>
    </w: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tabs>
        <w:tab w:val="clear" w:pos="4252"/>
        <w:tab w:val="clear" w:pos="8504"/>
        <w:tab w:val="left" w:pos="6100"/>
      </w:tabs>
      <w:rPr>
        <w:sz w:val="2"/>
        <w:szCs w:val="2"/>
      </w:rPr>
    </w:pPr>
    <w:r>
      <w:rPr>
        <w:sz w:val="2"/>
        <w:szCs w:val="2"/>
      </w:rPr>
      <w:tab/>
    </w: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p>
  <w:p w:rsidR="00396199" w:rsidRDefault="00396199">
    <w:pPr>
      <w:pStyle w:val="Encabezado"/>
      <w:rPr>
        <w:sz w:val="2"/>
        <w:szCs w:val="2"/>
      </w:rPr>
    </w:pPr>
    <w:r>
      <w:rPr>
        <w:sz w:val="2"/>
        <w:szCs w:val="2"/>
      </w:rPr>
      <w:tab/>
    </w:r>
    <w:r>
      <w:rPr>
        <w:sz w:val="2"/>
        <w:szCs w:val="2"/>
      </w:rPr>
      <w:tab/>
    </w:r>
  </w:p>
  <w:p w:rsidR="00396199" w:rsidRDefault="00396199">
    <w:pPr>
      <w:pStyle w:val="Encabezado"/>
      <w:rPr>
        <w:sz w:val="2"/>
        <w:szCs w:val="2"/>
      </w:rPr>
    </w:pPr>
    <w:r>
      <w:rPr>
        <w:sz w:val="2"/>
        <w:szCs w:val="2"/>
      </w:rPr>
      <w:tab/>
    </w:r>
    <w:r>
      <w:rPr>
        <w:sz w:val="2"/>
        <w:szCs w:val="2"/>
      </w:rPr>
      <w:tab/>
    </w:r>
  </w:p>
  <w:p w:rsidR="00396199" w:rsidRDefault="0022285A">
    <w:pPr>
      <w:pStyle w:val="Encabezado"/>
    </w:pPr>
    <w:r>
      <w:rPr>
        <w:noProof/>
      </w:rPr>
      <mc:AlternateContent>
        <mc:Choice Requires="wps">
          <w:drawing>
            <wp:anchor distT="0" distB="0" distL="114300" distR="114300" simplePos="0" relativeHeight="251656704" behindDoc="0" locked="0" layoutInCell="1" allowOverlap="1">
              <wp:simplePos x="0" y="0"/>
              <wp:positionH relativeFrom="column">
                <wp:posOffset>2148840</wp:posOffset>
              </wp:positionH>
              <wp:positionV relativeFrom="paragraph">
                <wp:posOffset>121920</wp:posOffset>
              </wp:positionV>
              <wp:extent cx="3790950" cy="635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99" w:rsidRDefault="00E60465" w:rsidP="007B1542">
                          <w:pPr>
                            <w:rPr>
                              <w:rFonts w:ascii="Arial" w:hAnsi="Arial" w:cs="Arial"/>
                              <w:b/>
                              <w:noProof/>
                              <w:color w:val="999999"/>
                              <w:sz w:val="22"/>
                              <w:szCs w:val="22"/>
                            </w:rPr>
                          </w:pPr>
                          <w:r>
                            <w:rPr>
                              <w:rFonts w:ascii="Arial" w:hAnsi="Arial" w:cs="Arial"/>
                              <w:b/>
                              <w:noProof/>
                              <w:color w:val="999999"/>
                              <w:sz w:val="22"/>
                              <w:szCs w:val="22"/>
                            </w:rPr>
                            <w:t xml:space="preserve">     ÁREA DE HACIENDA </w:t>
                          </w:r>
                          <w:r w:rsidR="007B1542">
                            <w:rPr>
                              <w:rFonts w:ascii="Arial" w:hAnsi="Arial" w:cs="Arial"/>
                              <w:b/>
                              <w:noProof/>
                              <w:color w:val="999999"/>
                              <w:sz w:val="22"/>
                              <w:szCs w:val="22"/>
                            </w:rPr>
                            <w:t>Y</w:t>
                          </w:r>
                          <w:r>
                            <w:rPr>
                              <w:rFonts w:ascii="Arial" w:hAnsi="Arial" w:cs="Arial"/>
                              <w:b/>
                              <w:noProof/>
                              <w:color w:val="999999"/>
                              <w:sz w:val="22"/>
                              <w:szCs w:val="22"/>
                            </w:rPr>
                            <w:t xml:space="preserve">   </w:t>
                          </w:r>
                          <w:r w:rsidR="007B1542">
                            <w:rPr>
                              <w:rFonts w:ascii="Arial" w:hAnsi="Arial" w:cs="Arial"/>
                              <w:b/>
                              <w:noProof/>
                              <w:color w:val="999999"/>
                              <w:sz w:val="22"/>
                              <w:szCs w:val="22"/>
                            </w:rPr>
                            <w:t>GESTIÓN INSTITUCIONAL</w:t>
                          </w:r>
                        </w:p>
                        <w:p w:rsidR="007B1542" w:rsidRPr="007B1542" w:rsidRDefault="007B1542">
                          <w:pPr>
                            <w:rPr>
                              <w:rFonts w:ascii="Arial" w:hAnsi="Arial" w:cs="Arial"/>
                              <w:i/>
                              <w:color w:val="999999"/>
                              <w:sz w:val="22"/>
                              <w:szCs w:val="22"/>
                            </w:rPr>
                          </w:pPr>
                          <w:r>
                            <w:rPr>
                              <w:rFonts w:ascii="Arial" w:hAnsi="Arial" w:cs="Arial"/>
                              <w:b/>
                              <w:noProof/>
                              <w:color w:val="999999"/>
                              <w:sz w:val="22"/>
                              <w:szCs w:val="22"/>
                            </w:rPr>
                            <w:tab/>
                          </w:r>
                          <w:r>
                            <w:rPr>
                              <w:rFonts w:ascii="Arial" w:hAnsi="Arial" w:cs="Arial"/>
                              <w:b/>
                              <w:noProof/>
                              <w:color w:val="999999"/>
                              <w:sz w:val="22"/>
                              <w:szCs w:val="22"/>
                            </w:rPr>
                            <w:tab/>
                          </w:r>
                          <w:r>
                            <w:rPr>
                              <w:rFonts w:ascii="Arial" w:hAnsi="Arial" w:cs="Arial"/>
                              <w:b/>
                              <w:noProof/>
                              <w:color w:val="999999"/>
                              <w:sz w:val="22"/>
                              <w:szCs w:val="22"/>
                            </w:rPr>
                            <w:tab/>
                            <w:t xml:space="preserve">                   </w:t>
                          </w:r>
                          <w:r>
                            <w:rPr>
                              <w:rFonts w:ascii="Arial" w:hAnsi="Arial" w:cs="Arial"/>
                              <w:i/>
                              <w:noProof/>
                              <w:color w:val="999999"/>
                              <w:sz w:val="22"/>
                              <w:szCs w:val="22"/>
                            </w:rPr>
                            <w:t>Concejalía de Hacienda</w:t>
                          </w:r>
                        </w:p>
                        <w:p w:rsidR="00396199" w:rsidRDefault="00396199">
                          <w:pPr>
                            <w:rPr>
                              <w:sz w:val="2"/>
                              <w:szCs w:val="2"/>
                            </w:rPr>
                          </w:pPr>
                        </w:p>
                        <w:p w:rsidR="00396199" w:rsidRDefault="00396199">
                          <w:pPr>
                            <w:rPr>
                              <w:sz w:val="2"/>
                              <w:szCs w:val="2"/>
                            </w:rPr>
                          </w:pPr>
                        </w:p>
                        <w:p w:rsidR="00396199" w:rsidRDefault="00396199">
                          <w:pPr>
                            <w:rPr>
                              <w:sz w:val="2"/>
                              <w:szCs w:val="2"/>
                            </w:rPr>
                          </w:pPr>
                        </w:p>
                        <w:p w:rsidR="00396199" w:rsidRPr="003F767A" w:rsidRDefault="007B1542">
                          <w:pPr>
                            <w:rPr>
                              <w:sz w:val="2"/>
                              <w:szCs w:val="2"/>
                            </w:rPr>
                          </w:pPr>
                          <w:r>
                            <w:rPr>
                              <w:noProof/>
                              <w:sz w:val="2"/>
                              <w:szCs w:val="2"/>
                            </w:rPr>
                            <w:t>CONC</w:t>
                          </w:r>
                        </w:p>
                        <w:p w:rsidR="00396199" w:rsidRDefault="00396199">
                          <w:pPr>
                            <w:rPr>
                              <w:sz w:val="2"/>
                              <w:szCs w:val="2"/>
                            </w:rPr>
                          </w:pPr>
                        </w:p>
                        <w:p w:rsidR="00396199" w:rsidRDefault="00396199">
                          <w:pPr>
                            <w:rPr>
                              <w:sz w:val="2"/>
                              <w:szCs w:val="2"/>
                            </w:rPr>
                          </w:pPr>
                        </w:p>
                        <w:p w:rsidR="00396199" w:rsidRDefault="00396199">
                          <w:pPr>
                            <w:rPr>
                              <w:sz w:val="2"/>
                              <w:szCs w:val="2"/>
                            </w:rPr>
                          </w:pPr>
                        </w:p>
                        <w:p w:rsidR="00396199" w:rsidRDefault="00396199">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2pt;margin-top:9.6pt;width:298.5pt;height: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P4twIAALk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" filled="f" stroked="f">
              <v:textbox>
                <w:txbxContent>
                  <w:p w:rsidR="00396199" w:rsidRDefault="00E60465" w:rsidP="007B1542">
                    <w:pPr>
                      <w:rPr>
                        <w:rFonts w:ascii="Arial" w:hAnsi="Arial" w:cs="Arial"/>
                        <w:b/>
                        <w:noProof/>
                        <w:color w:val="999999"/>
                        <w:sz w:val="22"/>
                        <w:szCs w:val="22"/>
                      </w:rPr>
                    </w:pPr>
                    <w:r>
                      <w:rPr>
                        <w:rFonts w:ascii="Arial" w:hAnsi="Arial" w:cs="Arial"/>
                        <w:b/>
                        <w:noProof/>
                        <w:color w:val="999999"/>
                        <w:sz w:val="22"/>
                        <w:szCs w:val="22"/>
                      </w:rPr>
                      <w:t xml:space="preserve">     ÁREA DE HACIENDA </w:t>
                    </w:r>
                    <w:r w:rsidR="007B1542">
                      <w:rPr>
                        <w:rFonts w:ascii="Arial" w:hAnsi="Arial" w:cs="Arial"/>
                        <w:b/>
                        <w:noProof/>
                        <w:color w:val="999999"/>
                        <w:sz w:val="22"/>
                        <w:szCs w:val="22"/>
                      </w:rPr>
                      <w:t>Y</w:t>
                    </w:r>
                    <w:r>
                      <w:rPr>
                        <w:rFonts w:ascii="Arial" w:hAnsi="Arial" w:cs="Arial"/>
                        <w:b/>
                        <w:noProof/>
                        <w:color w:val="999999"/>
                        <w:sz w:val="22"/>
                        <w:szCs w:val="22"/>
                      </w:rPr>
                      <w:t xml:space="preserve">   </w:t>
                    </w:r>
                    <w:r w:rsidR="007B1542">
                      <w:rPr>
                        <w:rFonts w:ascii="Arial" w:hAnsi="Arial" w:cs="Arial"/>
                        <w:b/>
                        <w:noProof/>
                        <w:color w:val="999999"/>
                        <w:sz w:val="22"/>
                        <w:szCs w:val="22"/>
                      </w:rPr>
                      <w:t>GESTIÓN INSTITUCIONAL</w:t>
                    </w:r>
                  </w:p>
                  <w:p w:rsidR="007B1542" w:rsidRPr="007B1542" w:rsidRDefault="007B1542">
                    <w:pPr>
                      <w:rPr>
                        <w:rFonts w:ascii="Arial" w:hAnsi="Arial" w:cs="Arial"/>
                        <w:i/>
                        <w:color w:val="999999"/>
                        <w:sz w:val="22"/>
                        <w:szCs w:val="22"/>
                      </w:rPr>
                    </w:pPr>
                    <w:r>
                      <w:rPr>
                        <w:rFonts w:ascii="Arial" w:hAnsi="Arial" w:cs="Arial"/>
                        <w:b/>
                        <w:noProof/>
                        <w:color w:val="999999"/>
                        <w:sz w:val="22"/>
                        <w:szCs w:val="22"/>
                      </w:rPr>
                      <w:tab/>
                    </w:r>
                    <w:r>
                      <w:rPr>
                        <w:rFonts w:ascii="Arial" w:hAnsi="Arial" w:cs="Arial"/>
                        <w:b/>
                        <w:noProof/>
                        <w:color w:val="999999"/>
                        <w:sz w:val="22"/>
                        <w:szCs w:val="22"/>
                      </w:rPr>
                      <w:tab/>
                    </w:r>
                    <w:r>
                      <w:rPr>
                        <w:rFonts w:ascii="Arial" w:hAnsi="Arial" w:cs="Arial"/>
                        <w:b/>
                        <w:noProof/>
                        <w:color w:val="999999"/>
                        <w:sz w:val="22"/>
                        <w:szCs w:val="22"/>
                      </w:rPr>
                      <w:tab/>
                      <w:t xml:space="preserve">                   </w:t>
                    </w:r>
                    <w:r>
                      <w:rPr>
                        <w:rFonts w:ascii="Arial" w:hAnsi="Arial" w:cs="Arial"/>
                        <w:i/>
                        <w:noProof/>
                        <w:color w:val="999999"/>
                        <w:sz w:val="22"/>
                        <w:szCs w:val="22"/>
                      </w:rPr>
                      <w:t>Concejalía de Hacienda</w:t>
                    </w:r>
                  </w:p>
                  <w:p w:rsidR="00396199" w:rsidRDefault="00396199">
                    <w:pPr>
                      <w:rPr>
                        <w:sz w:val="2"/>
                        <w:szCs w:val="2"/>
                      </w:rPr>
                    </w:pPr>
                  </w:p>
                  <w:p w:rsidR="00396199" w:rsidRDefault="00396199">
                    <w:pPr>
                      <w:rPr>
                        <w:sz w:val="2"/>
                        <w:szCs w:val="2"/>
                      </w:rPr>
                    </w:pPr>
                  </w:p>
                  <w:p w:rsidR="00396199" w:rsidRDefault="00396199">
                    <w:pPr>
                      <w:rPr>
                        <w:sz w:val="2"/>
                        <w:szCs w:val="2"/>
                      </w:rPr>
                    </w:pPr>
                  </w:p>
                  <w:p w:rsidR="00396199" w:rsidRPr="003F767A" w:rsidRDefault="007B1542">
                    <w:pPr>
                      <w:rPr>
                        <w:sz w:val="2"/>
                        <w:szCs w:val="2"/>
                      </w:rPr>
                    </w:pPr>
                    <w:r>
                      <w:rPr>
                        <w:noProof/>
                        <w:sz w:val="2"/>
                        <w:szCs w:val="2"/>
                      </w:rPr>
                      <w:t>CONC</w:t>
                    </w:r>
                  </w:p>
                  <w:p w:rsidR="00396199" w:rsidRDefault="00396199">
                    <w:pPr>
                      <w:rPr>
                        <w:sz w:val="2"/>
                        <w:szCs w:val="2"/>
                      </w:rPr>
                    </w:pPr>
                  </w:p>
                  <w:p w:rsidR="00396199" w:rsidRDefault="00396199">
                    <w:pPr>
                      <w:rPr>
                        <w:sz w:val="2"/>
                        <w:szCs w:val="2"/>
                      </w:rPr>
                    </w:pPr>
                  </w:p>
                  <w:p w:rsidR="00396199" w:rsidRDefault="00396199">
                    <w:pPr>
                      <w:rPr>
                        <w:sz w:val="2"/>
                        <w:szCs w:val="2"/>
                      </w:rPr>
                    </w:pPr>
                  </w:p>
                  <w:p w:rsidR="00396199" w:rsidRDefault="00396199">
                    <w:pPr>
                      <w:rPr>
                        <w:sz w:val="2"/>
                        <w:szCs w:val="2"/>
                      </w:rPr>
                    </w:pPr>
                  </w:p>
                </w:txbxContent>
              </v:textbox>
            </v:shape>
          </w:pict>
        </mc:Fallback>
      </mc:AlternateContent>
    </w:r>
    <w:r w:rsidR="00396199">
      <w:tab/>
    </w:r>
    <w:r w:rsidR="00396199">
      <w:tab/>
    </w:r>
  </w:p>
  <w:p w:rsidR="00396199" w:rsidRDefault="00396199">
    <w:pPr>
      <w:pStyle w:val="Encabezado"/>
    </w:pPr>
  </w:p>
  <w:p w:rsidR="00396199" w:rsidRDefault="00396199">
    <w:pPr>
      <w:pStyle w:val="Encabezado"/>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D2584"/>
    <w:multiLevelType w:val="hybridMultilevel"/>
    <w:tmpl w:val="F4C279F6"/>
    <w:lvl w:ilvl="0" w:tplc="41362746">
      <w:start w:val="1"/>
      <w:numFmt w:val="bullet"/>
      <w:lvlText w:val=""/>
      <w:lvlJc w:val="left"/>
      <w:pPr>
        <w:tabs>
          <w:tab w:val="num" w:pos="720"/>
        </w:tabs>
        <w:ind w:left="720" w:hanging="360"/>
      </w:pPr>
      <w:rPr>
        <w:rFonts w:ascii="Symbol" w:eastAsia="Times New Roman" w:hAnsi="Symbol" w:cs="Times New Roman" w:hint="default"/>
        <w:i/>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5C"/>
    <w:rsid w:val="00000B12"/>
    <w:rsid w:val="00004571"/>
    <w:rsid w:val="00015E62"/>
    <w:rsid w:val="0003441A"/>
    <w:rsid w:val="00037FAA"/>
    <w:rsid w:val="00065B31"/>
    <w:rsid w:val="00083B86"/>
    <w:rsid w:val="000B168E"/>
    <w:rsid w:val="000B65F3"/>
    <w:rsid w:val="000E46DC"/>
    <w:rsid w:val="000E7A53"/>
    <w:rsid w:val="00103995"/>
    <w:rsid w:val="00130792"/>
    <w:rsid w:val="00143A9F"/>
    <w:rsid w:val="00155A9D"/>
    <w:rsid w:val="001C23C2"/>
    <w:rsid w:val="001E7075"/>
    <w:rsid w:val="002157FD"/>
    <w:rsid w:val="00221B3F"/>
    <w:rsid w:val="0022285A"/>
    <w:rsid w:val="0023264F"/>
    <w:rsid w:val="002339E1"/>
    <w:rsid w:val="002363E0"/>
    <w:rsid w:val="00253C70"/>
    <w:rsid w:val="0026485E"/>
    <w:rsid w:val="002850C1"/>
    <w:rsid w:val="00293171"/>
    <w:rsid w:val="002C66E0"/>
    <w:rsid w:val="002D715C"/>
    <w:rsid w:val="002E1D59"/>
    <w:rsid w:val="002E725B"/>
    <w:rsid w:val="003001C0"/>
    <w:rsid w:val="00316213"/>
    <w:rsid w:val="00325BDC"/>
    <w:rsid w:val="00337591"/>
    <w:rsid w:val="00370E48"/>
    <w:rsid w:val="0037473E"/>
    <w:rsid w:val="00377254"/>
    <w:rsid w:val="0039403F"/>
    <w:rsid w:val="00396199"/>
    <w:rsid w:val="003A6EC6"/>
    <w:rsid w:val="003B15F0"/>
    <w:rsid w:val="003C0531"/>
    <w:rsid w:val="003C0729"/>
    <w:rsid w:val="003D1634"/>
    <w:rsid w:val="003F767A"/>
    <w:rsid w:val="00406312"/>
    <w:rsid w:val="0041019A"/>
    <w:rsid w:val="00414730"/>
    <w:rsid w:val="00452F55"/>
    <w:rsid w:val="00467ECA"/>
    <w:rsid w:val="00491361"/>
    <w:rsid w:val="00491750"/>
    <w:rsid w:val="00493EC8"/>
    <w:rsid w:val="004D529F"/>
    <w:rsid w:val="00500BB9"/>
    <w:rsid w:val="00522ECA"/>
    <w:rsid w:val="00525D9B"/>
    <w:rsid w:val="00527883"/>
    <w:rsid w:val="005439B7"/>
    <w:rsid w:val="00603DCB"/>
    <w:rsid w:val="006117D8"/>
    <w:rsid w:val="00630BBA"/>
    <w:rsid w:val="00632AC4"/>
    <w:rsid w:val="00636BE7"/>
    <w:rsid w:val="00641899"/>
    <w:rsid w:val="00650539"/>
    <w:rsid w:val="00676897"/>
    <w:rsid w:val="00695869"/>
    <w:rsid w:val="006A1685"/>
    <w:rsid w:val="006B0429"/>
    <w:rsid w:val="006B69D3"/>
    <w:rsid w:val="006C3293"/>
    <w:rsid w:val="006E6811"/>
    <w:rsid w:val="00701EEC"/>
    <w:rsid w:val="007028C1"/>
    <w:rsid w:val="007048F4"/>
    <w:rsid w:val="00713C49"/>
    <w:rsid w:val="007149F1"/>
    <w:rsid w:val="00757F59"/>
    <w:rsid w:val="007711BB"/>
    <w:rsid w:val="007B1542"/>
    <w:rsid w:val="007D772C"/>
    <w:rsid w:val="007E7048"/>
    <w:rsid w:val="007F3DAB"/>
    <w:rsid w:val="00804CFE"/>
    <w:rsid w:val="008265A1"/>
    <w:rsid w:val="0083525D"/>
    <w:rsid w:val="00840B71"/>
    <w:rsid w:val="0085460E"/>
    <w:rsid w:val="008575D9"/>
    <w:rsid w:val="00874636"/>
    <w:rsid w:val="00883365"/>
    <w:rsid w:val="008A29E8"/>
    <w:rsid w:val="008A63D8"/>
    <w:rsid w:val="008C056D"/>
    <w:rsid w:val="008D1745"/>
    <w:rsid w:val="008E4849"/>
    <w:rsid w:val="009127CC"/>
    <w:rsid w:val="009574BE"/>
    <w:rsid w:val="00971B20"/>
    <w:rsid w:val="0098600B"/>
    <w:rsid w:val="009869B5"/>
    <w:rsid w:val="009918C8"/>
    <w:rsid w:val="00992503"/>
    <w:rsid w:val="009A275F"/>
    <w:rsid w:val="009B07AD"/>
    <w:rsid w:val="009D02EA"/>
    <w:rsid w:val="009D610C"/>
    <w:rsid w:val="009E40A5"/>
    <w:rsid w:val="009F7BB2"/>
    <w:rsid w:val="00A25ACF"/>
    <w:rsid w:val="00A3437F"/>
    <w:rsid w:val="00A347E7"/>
    <w:rsid w:val="00A81139"/>
    <w:rsid w:val="00A8471F"/>
    <w:rsid w:val="00AC5D50"/>
    <w:rsid w:val="00AE33D5"/>
    <w:rsid w:val="00B143E8"/>
    <w:rsid w:val="00B305DA"/>
    <w:rsid w:val="00B40E33"/>
    <w:rsid w:val="00B56A19"/>
    <w:rsid w:val="00B74193"/>
    <w:rsid w:val="00BC105B"/>
    <w:rsid w:val="00BE6E22"/>
    <w:rsid w:val="00C22D2E"/>
    <w:rsid w:val="00C231EB"/>
    <w:rsid w:val="00C250E3"/>
    <w:rsid w:val="00C35322"/>
    <w:rsid w:val="00C4686D"/>
    <w:rsid w:val="00CA07AA"/>
    <w:rsid w:val="00CA702D"/>
    <w:rsid w:val="00CB5565"/>
    <w:rsid w:val="00CC60EE"/>
    <w:rsid w:val="00CD0A78"/>
    <w:rsid w:val="00CE0269"/>
    <w:rsid w:val="00CF47CF"/>
    <w:rsid w:val="00CF61EC"/>
    <w:rsid w:val="00D44BAB"/>
    <w:rsid w:val="00D46D76"/>
    <w:rsid w:val="00D518C0"/>
    <w:rsid w:val="00D62F31"/>
    <w:rsid w:val="00D6307A"/>
    <w:rsid w:val="00D66090"/>
    <w:rsid w:val="00D703A4"/>
    <w:rsid w:val="00DB4A1D"/>
    <w:rsid w:val="00DF23DA"/>
    <w:rsid w:val="00E16F86"/>
    <w:rsid w:val="00E3576D"/>
    <w:rsid w:val="00E60465"/>
    <w:rsid w:val="00E9423D"/>
    <w:rsid w:val="00EB3EB6"/>
    <w:rsid w:val="00F078EF"/>
    <w:rsid w:val="00F153FC"/>
    <w:rsid w:val="00F90B05"/>
    <w:rsid w:val="00F9156C"/>
    <w:rsid w:val="00F967F4"/>
    <w:rsid w:val="00FC2E30"/>
    <w:rsid w:val="00FE1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350426"/>
  <w15:chartTrackingRefBased/>
  <w15:docId w15:val="{77877222-4434-4F2E-83E6-5FE9899A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5C"/>
    <w:rPr>
      <w:sz w:val="24"/>
      <w:szCs w:val="24"/>
    </w:rPr>
  </w:style>
  <w:style w:type="paragraph" w:styleId="Ttulo1">
    <w:name w:val="heading 1"/>
    <w:basedOn w:val="Normal"/>
    <w:next w:val="Normal"/>
    <w:qFormat/>
    <w:pPr>
      <w:keepNext/>
      <w:outlineLvl w:val="0"/>
    </w:pPr>
    <w:rPr>
      <w:rFonts w:ascii="Arial" w:hAnsi="Arial" w:cs="Arial"/>
      <w:i/>
      <w:sz w:val="18"/>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tulo">
    <w:name w:val="Title"/>
    <w:basedOn w:val="Normal"/>
    <w:qFormat/>
    <w:pPr>
      <w:jc w:val="center"/>
    </w:pPr>
    <w:rPr>
      <w:b/>
      <w:bCs/>
      <w:i/>
      <w:iCs/>
      <w:sz w:val="28"/>
      <w:u w:val="single"/>
    </w:rPr>
  </w:style>
  <w:style w:type="table" w:styleId="Tablaconcuadrcula">
    <w:name w:val="Table Grid"/>
    <w:basedOn w:val="Tablanormal"/>
    <w:rsid w:val="00A3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E33D5"/>
  </w:style>
  <w:style w:type="paragraph" w:styleId="Textodebloque">
    <w:name w:val="Block Text"/>
    <w:basedOn w:val="Normal"/>
    <w:rsid w:val="002D715C"/>
    <w:pPr>
      <w:overflowPunct w:val="0"/>
      <w:autoSpaceDE w:val="0"/>
      <w:autoSpaceDN w:val="0"/>
      <w:adjustRightInd w:val="0"/>
      <w:ind w:left="360" w:right="180"/>
      <w:jc w:val="center"/>
    </w:pPr>
    <w:rPr>
      <w:b/>
      <w:i/>
      <w:u w:val="single"/>
    </w:rPr>
  </w:style>
  <w:style w:type="paragraph" w:styleId="Prrafodelista">
    <w:name w:val="List Paragraph"/>
    <w:basedOn w:val="Normal"/>
    <w:uiPriority w:val="34"/>
    <w:qFormat/>
    <w:rsid w:val="00155A9D"/>
    <w:pPr>
      <w:ind w:left="720"/>
      <w:contextualSpacing/>
    </w:pPr>
  </w:style>
  <w:style w:type="paragraph" w:styleId="NormalWeb">
    <w:name w:val="Normal (Web)"/>
    <w:basedOn w:val="Normal"/>
    <w:uiPriority w:val="99"/>
    <w:unhideWhenUsed/>
    <w:rsid w:val="009F7B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4378">
      <w:bodyDiv w:val="1"/>
      <w:marLeft w:val="0"/>
      <w:marRight w:val="0"/>
      <w:marTop w:val="0"/>
      <w:marBottom w:val="0"/>
      <w:divBdr>
        <w:top w:val="none" w:sz="0" w:space="0" w:color="auto"/>
        <w:left w:val="none" w:sz="0" w:space="0" w:color="auto"/>
        <w:bottom w:val="none" w:sz="0" w:space="0" w:color="auto"/>
        <w:right w:val="none" w:sz="0" w:space="0" w:color="auto"/>
      </w:divBdr>
    </w:div>
    <w:div w:id="331763437">
      <w:bodyDiv w:val="1"/>
      <w:marLeft w:val="0"/>
      <w:marRight w:val="0"/>
      <w:marTop w:val="0"/>
      <w:marBottom w:val="0"/>
      <w:divBdr>
        <w:top w:val="none" w:sz="0" w:space="0" w:color="auto"/>
        <w:left w:val="none" w:sz="0" w:space="0" w:color="auto"/>
        <w:bottom w:val="none" w:sz="0" w:space="0" w:color="auto"/>
        <w:right w:val="none" w:sz="0" w:space="0" w:color="auto"/>
      </w:divBdr>
    </w:div>
    <w:div w:id="593168389">
      <w:bodyDiv w:val="1"/>
      <w:marLeft w:val="0"/>
      <w:marRight w:val="0"/>
      <w:marTop w:val="0"/>
      <w:marBottom w:val="0"/>
      <w:divBdr>
        <w:top w:val="none" w:sz="0" w:space="0" w:color="auto"/>
        <w:left w:val="none" w:sz="0" w:space="0" w:color="auto"/>
        <w:bottom w:val="none" w:sz="0" w:space="0" w:color="auto"/>
        <w:right w:val="none" w:sz="0" w:space="0" w:color="auto"/>
      </w:divBdr>
    </w:div>
    <w:div w:id="763838288">
      <w:bodyDiv w:val="1"/>
      <w:marLeft w:val="0"/>
      <w:marRight w:val="0"/>
      <w:marTop w:val="0"/>
      <w:marBottom w:val="0"/>
      <w:divBdr>
        <w:top w:val="none" w:sz="0" w:space="0" w:color="auto"/>
        <w:left w:val="none" w:sz="0" w:space="0" w:color="auto"/>
        <w:bottom w:val="none" w:sz="0" w:space="0" w:color="auto"/>
        <w:right w:val="none" w:sz="0" w:space="0" w:color="auto"/>
      </w:divBdr>
    </w:div>
    <w:div w:id="1059859698">
      <w:bodyDiv w:val="1"/>
      <w:marLeft w:val="0"/>
      <w:marRight w:val="0"/>
      <w:marTop w:val="0"/>
      <w:marBottom w:val="0"/>
      <w:divBdr>
        <w:top w:val="none" w:sz="0" w:space="0" w:color="auto"/>
        <w:left w:val="none" w:sz="0" w:space="0" w:color="auto"/>
        <w:bottom w:val="none" w:sz="0" w:space="0" w:color="auto"/>
        <w:right w:val="none" w:sz="0" w:space="0" w:color="auto"/>
      </w:divBdr>
    </w:div>
    <w:div w:id="1652249116">
      <w:bodyDiv w:val="1"/>
      <w:marLeft w:val="0"/>
      <w:marRight w:val="0"/>
      <w:marTop w:val="0"/>
      <w:marBottom w:val="0"/>
      <w:divBdr>
        <w:top w:val="none" w:sz="0" w:space="0" w:color="auto"/>
        <w:left w:val="none" w:sz="0" w:space="0" w:color="auto"/>
        <w:bottom w:val="none" w:sz="0" w:space="0" w:color="auto"/>
        <w:right w:val="none" w:sz="0" w:space="0" w:color="auto"/>
      </w:divBdr>
    </w:div>
    <w:div w:id="19302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rv1\red$\USUARIOS\sguerra\Desktop\PLANTILLA%20CONCEJAL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CONCEJALIA</Template>
  <TotalTime>0</TotalTime>
  <Pages>5</Pages>
  <Words>1709</Words>
  <Characters>8854</Characters>
  <Application>Microsoft Office Word</Application>
  <DocSecurity>0</DocSecurity>
  <Lines>73</Lines>
  <Paragraphs>21</Paragraphs>
  <ScaleCrop>false</ScaleCrop>
  <HeadingPairs>
    <vt:vector size="2" baseType="variant">
      <vt:variant>
        <vt:lpstr>Título</vt:lpstr>
      </vt:variant>
      <vt:variant>
        <vt:i4>1</vt:i4>
      </vt:variant>
    </vt:vector>
  </HeadingPairs>
  <TitlesOfParts>
    <vt:vector size="1" baseType="lpstr">
      <vt:lpstr>SOLICITUDES ONLINE “TU AYUNTAMIENTO EN CASA”</vt:lpstr>
    </vt:vector>
  </TitlesOfParts>
  <Company>AYTO. ALCALÁ DE HENARES</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SOLICITUDES ONLINE “TU AYUNTAMIENTO EN CASA”</dc:title>
  <dc:subject/>
  <dc:creator>Sonia Guerra Gomez</dc:creator>
  <cp:keywords/>
  <dc:description/>
  <cp:lastModifiedBy>Sonia Guerra Gomez</cp:lastModifiedBy>
  <cp:revision>2</cp:revision>
  <cp:lastPrinted>2021-09-13T12:32:00Z</cp:lastPrinted>
  <dcterms:created xsi:type="dcterms:W3CDTF">2021-09-23T09:52:00Z</dcterms:created>
  <dcterms:modified xsi:type="dcterms:W3CDTF">2021-09-23T09:52:00Z</dcterms:modified>
</cp:coreProperties>
</file>